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0D8C1553" w14:textId="77777777" w:rsidTr="007B531E">
        <w:trPr>
          <w:trHeight w:hRule="exact" w:val="1276"/>
        </w:trPr>
        <w:tc>
          <w:tcPr>
            <w:tcW w:w="5000" w:type="pct"/>
            <w:gridSpan w:val="2"/>
            <w:shd w:val="clear" w:color="auto" w:fill="auto"/>
            <w:vAlign w:val="center"/>
          </w:tcPr>
          <w:p w14:paraId="6BFABF5C" w14:textId="002D8AB8" w:rsidR="00B9730E" w:rsidRPr="00FB1A06" w:rsidRDefault="0039660F" w:rsidP="00432CEC">
            <w:pPr>
              <w:spacing w:before="40" w:after="20"/>
              <w:ind w:left="113" w:right="113"/>
              <w:jc w:val="center"/>
              <w:rPr>
                <w:rFonts w:ascii="Arial" w:hAnsi="Arial" w:cs="Arial"/>
                <w:b/>
                <w:i/>
                <w:noProof/>
                <w:sz w:val="30"/>
                <w:szCs w:val="30"/>
                <w:lang w:val="en-US"/>
              </w:rPr>
            </w:pPr>
            <w:r w:rsidRPr="0039660F">
              <w:rPr>
                <w:rFonts w:ascii="Arial" w:hAnsi="Arial" w:cs="Arial"/>
                <w:b/>
                <w:i/>
                <w:noProof/>
                <w:sz w:val="30"/>
                <w:szCs w:val="30"/>
                <w:lang w:val="en-US"/>
              </w:rPr>
              <w:drawing>
                <wp:anchor distT="0" distB="0" distL="114300" distR="114300" simplePos="0" relativeHeight="251704832" behindDoc="0" locked="0" layoutInCell="1" allowOverlap="1" wp14:anchorId="0D2F32E0" wp14:editId="04DBD2AB">
                  <wp:simplePos x="0" y="0"/>
                  <wp:positionH relativeFrom="column">
                    <wp:posOffset>-69215</wp:posOffset>
                  </wp:positionH>
                  <wp:positionV relativeFrom="paragraph">
                    <wp:posOffset>-48260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660F">
              <w:rPr>
                <w:rFonts w:ascii="Arial" w:hAnsi="Arial" w:cs="Arial"/>
                <w:b/>
                <w:i/>
                <w:noProof/>
                <w:sz w:val="30"/>
                <w:szCs w:val="30"/>
                <w:lang w:val="en-US"/>
              </w:rPr>
              <mc:AlternateContent>
                <mc:Choice Requires="wps">
                  <w:drawing>
                    <wp:anchor distT="0" distB="0" distL="114300" distR="114300" simplePos="0" relativeHeight="251702784" behindDoc="0" locked="0" layoutInCell="1" allowOverlap="1" wp14:anchorId="3753F425" wp14:editId="6E2F68D7">
                      <wp:simplePos x="0" y="0"/>
                      <wp:positionH relativeFrom="column">
                        <wp:posOffset>1261110</wp:posOffset>
                      </wp:positionH>
                      <wp:positionV relativeFrom="paragraph">
                        <wp:posOffset>139065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67636" w14:textId="77777777" w:rsidR="0039660F" w:rsidRPr="00241717" w:rsidRDefault="0039660F" w:rsidP="0039660F">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2A31B8D4" w14:textId="43149A65" w:rsidR="0039660F" w:rsidRPr="00241717" w:rsidRDefault="0039660F" w:rsidP="0039660F">
                                  <w:pPr>
                                    <w:spacing w:line="360" w:lineRule="auto"/>
                                    <w:jc w:val="center"/>
                                    <w:rPr>
                                      <w:rFonts w:ascii="Arial" w:hAnsi="Arial" w:cs="Arial"/>
                                      <w:b/>
                                      <w:sz w:val="40"/>
                                      <w:szCs w:val="40"/>
                                    </w:rPr>
                                  </w:pPr>
                                  <w:r>
                                    <w:rPr>
                                      <w:rFonts w:ascii="Arial" w:hAnsi="Arial" w:cs="Arial"/>
                                      <w:b/>
                                      <w:sz w:val="40"/>
                                      <w:szCs w:val="40"/>
                                    </w:rPr>
                                    <w:t>PALLET JACK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3F425" id="_x0000_t202" coordsize="21600,21600" o:spt="202" path="m,l,21600r21600,l21600,xe">
                      <v:stroke joinstyle="miter"/>
                      <v:path gradientshapeok="t" o:connecttype="rect"/>
                    </v:shapetype>
                    <v:shape id="Text Box 25" o:spid="_x0000_s1026" type="#_x0000_t202" style="position:absolute;left:0;text-align:left;margin-left:99.3pt;margin-top:10.95pt;width:304.6pt;height:68.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HB82xTeAAAACgEAAA8AAABkcnMvZG93bnJldi54bWxMj0FLw0AUhO+C/2F5ghexmwas&#10;m5hNkaIHQQvG9r7JPpPU7NuQ3bbx3/s86XGYYeabYj27QZxwCr0nDctFAgKp8banVsPu4/lWgQjR&#10;kDWDJ9TwjQHW5eVFYXLrz/SOpyq2gkso5EZDF+OYSxmaDp0JCz8isffpJ2ciy6mVdjJnLneDTJNk&#10;JZ3piRc6M+Kmw+arOjrefZrVuK9fN4eX6qY+pFvq3xRpfX01Pz6AiDjHvzD84jM6lMxU+yPZIAbW&#10;mVpxVEO6zEBwQCX3/KVm5y5LQZaF/H+h/AEAAP//AwBQSwECLQAUAAYACAAAACEAtoM4kv4AAADh&#10;AQAAEwAAAAAAAAAAAAAAAAAAAAAAW0NvbnRlbnRfVHlwZXNdLnhtbFBLAQItABQABgAIAAAAIQA4&#10;/SH/1gAAAJQBAAALAAAAAAAAAAAAAAAAAC8BAABfcmVscy8ucmVsc1BLAQItABQABgAIAAAAIQC5&#10;1XCfEwIAAA0EAAAOAAAAAAAAAAAAAAAAAC4CAABkcnMvZTJvRG9jLnhtbFBLAQItABQABgAIAAAA&#10;IQBwfNsU3gAAAAoBAAAPAAAAAAAAAAAAAAAAAG0EAABkcnMvZG93bnJldi54bWxQSwUGAAAAAAQA&#10;BADzAAAAeAUAAAAA&#10;" stroked="f">
                      <v:fill opacity="0"/>
                      <v:textbox>
                        <w:txbxContent>
                          <w:p w14:paraId="00467636" w14:textId="77777777" w:rsidR="0039660F" w:rsidRPr="00241717" w:rsidRDefault="0039660F" w:rsidP="0039660F">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2A31B8D4" w14:textId="43149A65" w:rsidR="0039660F" w:rsidRPr="00241717" w:rsidRDefault="0039660F" w:rsidP="0039660F">
                            <w:pPr>
                              <w:spacing w:line="360" w:lineRule="auto"/>
                              <w:jc w:val="center"/>
                              <w:rPr>
                                <w:rFonts w:ascii="Arial" w:hAnsi="Arial" w:cs="Arial"/>
                                <w:b/>
                                <w:sz w:val="40"/>
                                <w:szCs w:val="40"/>
                              </w:rPr>
                            </w:pPr>
                            <w:r>
                              <w:rPr>
                                <w:rFonts w:ascii="Arial" w:hAnsi="Arial" w:cs="Arial"/>
                                <w:b/>
                                <w:sz w:val="40"/>
                                <w:szCs w:val="40"/>
                              </w:rPr>
                              <w:t>PALLET JACK</w:t>
                            </w:r>
                          </w:p>
                        </w:txbxContent>
                      </v:textbox>
                    </v:shape>
                  </w:pict>
                </mc:Fallback>
              </mc:AlternateContent>
            </w:r>
          </w:p>
        </w:tc>
      </w:tr>
      <w:tr w:rsidR="007B531E" w14:paraId="69AB1280" w14:textId="77777777" w:rsidTr="007B531E">
        <w:trPr>
          <w:trHeight w:hRule="exact" w:val="113"/>
        </w:trPr>
        <w:tc>
          <w:tcPr>
            <w:tcW w:w="5000" w:type="pct"/>
            <w:gridSpan w:val="2"/>
            <w:shd w:val="clear" w:color="auto" w:fill="auto"/>
            <w:vAlign w:val="center"/>
          </w:tcPr>
          <w:p w14:paraId="521AD004" w14:textId="77777777" w:rsidR="007B531E" w:rsidRDefault="007B531E" w:rsidP="007B531E">
            <w:pPr>
              <w:ind w:right="113"/>
              <w:rPr>
                <w:rFonts w:ascii="Arial" w:hAnsi="Arial" w:cs="Arial"/>
                <w:b/>
                <w:i/>
                <w:noProof/>
                <w:sz w:val="32"/>
                <w:szCs w:val="32"/>
                <w:lang w:eastAsia="zh-TW"/>
              </w:rPr>
            </w:pPr>
          </w:p>
        </w:tc>
      </w:tr>
      <w:tr w:rsidR="00B9730E" w14:paraId="596B7D3A" w14:textId="77777777" w:rsidTr="001533CB">
        <w:trPr>
          <w:trHeight w:hRule="exact" w:val="158"/>
        </w:trPr>
        <w:tc>
          <w:tcPr>
            <w:tcW w:w="5000" w:type="pct"/>
            <w:gridSpan w:val="2"/>
            <w:shd w:val="clear" w:color="auto" w:fill="auto"/>
            <w:vAlign w:val="center"/>
          </w:tcPr>
          <w:p w14:paraId="62F1ABAA" w14:textId="77777777" w:rsidR="00B9730E" w:rsidRDefault="00B9730E" w:rsidP="00432CEC">
            <w:pPr>
              <w:ind w:left="113" w:right="113"/>
              <w:jc w:val="center"/>
              <w:rPr>
                <w:rFonts w:ascii="Arial" w:hAnsi="Arial" w:cs="Arial"/>
                <w:b/>
                <w:noProof/>
                <w:sz w:val="30"/>
                <w:szCs w:val="30"/>
                <w:lang w:val="en-US"/>
              </w:rPr>
            </w:pPr>
          </w:p>
          <w:p w14:paraId="6C537990" w14:textId="77777777" w:rsidR="001533CB" w:rsidRPr="00E6760B" w:rsidRDefault="001533CB" w:rsidP="00432CEC">
            <w:pPr>
              <w:ind w:left="113" w:right="113"/>
              <w:jc w:val="center"/>
              <w:rPr>
                <w:rFonts w:ascii="Arial" w:hAnsi="Arial" w:cs="Arial"/>
                <w:b/>
                <w:noProof/>
                <w:sz w:val="30"/>
                <w:szCs w:val="30"/>
                <w:lang w:val="en-US"/>
              </w:rPr>
            </w:pPr>
          </w:p>
        </w:tc>
      </w:tr>
      <w:tr w:rsidR="001533CB" w14:paraId="782D0350" w14:textId="77777777" w:rsidTr="001533CB">
        <w:trPr>
          <w:trHeight w:hRule="exact" w:val="158"/>
        </w:trPr>
        <w:tc>
          <w:tcPr>
            <w:tcW w:w="5000" w:type="pct"/>
            <w:gridSpan w:val="2"/>
            <w:shd w:val="clear" w:color="auto" w:fill="auto"/>
            <w:vAlign w:val="center"/>
          </w:tcPr>
          <w:p w14:paraId="0BAFF3EA" w14:textId="77777777" w:rsidR="001533CB" w:rsidRDefault="001533CB" w:rsidP="00432CEC">
            <w:pPr>
              <w:ind w:left="113" w:right="113"/>
              <w:jc w:val="center"/>
              <w:rPr>
                <w:rFonts w:ascii="Arial" w:hAnsi="Arial" w:cs="Arial"/>
                <w:b/>
                <w:noProof/>
                <w:sz w:val="30"/>
                <w:szCs w:val="30"/>
                <w:lang w:val="en-US"/>
              </w:rPr>
            </w:pPr>
          </w:p>
        </w:tc>
      </w:tr>
      <w:tr w:rsidR="001533CB" w14:paraId="7C360739" w14:textId="77777777" w:rsidTr="0039660F">
        <w:trPr>
          <w:trHeight w:hRule="exact" w:val="283"/>
        </w:trPr>
        <w:tc>
          <w:tcPr>
            <w:tcW w:w="5000" w:type="pct"/>
            <w:gridSpan w:val="2"/>
            <w:shd w:val="clear" w:color="auto" w:fill="auto"/>
            <w:vAlign w:val="center"/>
          </w:tcPr>
          <w:p w14:paraId="71E513D0" w14:textId="77777777" w:rsidR="001533CB" w:rsidRDefault="001533CB" w:rsidP="00432CEC">
            <w:pPr>
              <w:ind w:left="113" w:right="113"/>
              <w:jc w:val="center"/>
              <w:rPr>
                <w:rFonts w:ascii="Arial" w:hAnsi="Arial" w:cs="Arial"/>
                <w:b/>
                <w:noProof/>
                <w:sz w:val="30"/>
                <w:szCs w:val="30"/>
                <w:lang w:val="en-US"/>
              </w:rPr>
            </w:pPr>
          </w:p>
        </w:tc>
      </w:tr>
      <w:tr w:rsidR="00B9730E" w14:paraId="4607298C" w14:textId="77777777" w:rsidTr="00400E23">
        <w:trPr>
          <w:trHeight w:hRule="exact" w:val="816"/>
        </w:trPr>
        <w:tc>
          <w:tcPr>
            <w:tcW w:w="5000" w:type="pct"/>
            <w:gridSpan w:val="2"/>
            <w:shd w:val="clear" w:color="auto" w:fill="FFDE15"/>
            <w:vAlign w:val="center"/>
          </w:tcPr>
          <w:p w14:paraId="3FC00EDE" w14:textId="365A9843" w:rsidR="00B9730E" w:rsidRPr="00D6367C" w:rsidRDefault="0075407E" w:rsidP="00432CEC">
            <w:pPr>
              <w:spacing w:before="80" w:after="20"/>
              <w:ind w:left="113" w:right="113"/>
              <w:jc w:val="center"/>
              <w:rPr>
                <w:rFonts w:ascii="Arial" w:hAnsi="Arial" w:cs="Arial"/>
                <w:b/>
                <w:noProof/>
                <w:sz w:val="28"/>
                <w:szCs w:val="28"/>
                <w:lang w:val="en-US"/>
              </w:rPr>
            </w:pPr>
            <w:r>
              <w:rPr>
                <w:rFonts w:ascii="Arial" w:hAnsi="Arial" w:cs="Arial"/>
                <w:b/>
                <w:noProof/>
                <w:sz w:val="30"/>
                <w:szCs w:val="30"/>
                <w:lang w:val="en-US"/>
              </w:rPr>
              <w:t>STAFF ONLY TO OPERATE AND ADJUST THIS EQUIPMENT</w:t>
            </w:r>
          </w:p>
        </w:tc>
      </w:tr>
      <w:tr w:rsidR="00B9730E" w14:paraId="5957A7FB" w14:textId="77777777" w:rsidTr="007B531E">
        <w:trPr>
          <w:trHeight w:hRule="exact" w:val="170"/>
        </w:trPr>
        <w:tc>
          <w:tcPr>
            <w:tcW w:w="5000" w:type="pct"/>
            <w:gridSpan w:val="2"/>
            <w:vAlign w:val="center"/>
          </w:tcPr>
          <w:p w14:paraId="1BD1C3F7" w14:textId="77777777" w:rsidR="00B9730E" w:rsidRDefault="00B9730E" w:rsidP="00432CEC">
            <w:pPr>
              <w:rPr>
                <w:rFonts w:ascii="Arial" w:hAnsi="Arial" w:cs="Arial"/>
                <w:noProof/>
                <w:sz w:val="28"/>
                <w:lang w:val="en-US"/>
              </w:rPr>
            </w:pPr>
          </w:p>
        </w:tc>
      </w:tr>
      <w:tr w:rsidR="001533CB" w14:paraId="1C373064" w14:textId="77777777" w:rsidTr="0075407E">
        <w:trPr>
          <w:trHeight w:hRule="exact" w:val="933"/>
        </w:trPr>
        <w:tc>
          <w:tcPr>
            <w:tcW w:w="2485" w:type="pct"/>
            <w:vAlign w:val="center"/>
          </w:tcPr>
          <w:p w14:paraId="29B4AF4E" w14:textId="7016D0EE" w:rsidR="001533CB" w:rsidRDefault="0075407E" w:rsidP="001533CB">
            <w:pPr>
              <w:spacing w:before="120"/>
              <w:rPr>
                <w:rFonts w:ascii="Arial" w:hAnsi="Arial" w:cs="Arial"/>
                <w:sz w:val="20"/>
                <w:szCs w:val="20"/>
              </w:rPr>
            </w:pPr>
            <w:r w:rsidRPr="00B756BD">
              <w:rPr>
                <w:rFonts w:ascii="Arial" w:hAnsi="Arial" w:cs="Arial"/>
                <w:noProof/>
                <w:sz w:val="26"/>
                <w:szCs w:val="26"/>
                <w:lang w:val="en-GB" w:eastAsia="en-GB"/>
              </w:rPr>
              <w:drawing>
                <wp:anchor distT="0" distB="0" distL="114300" distR="114300" simplePos="0" relativeHeight="251700736" behindDoc="0" locked="0" layoutInCell="1" allowOverlap="0" wp14:anchorId="51EA9829" wp14:editId="4404329F">
                  <wp:simplePos x="0" y="0"/>
                  <wp:positionH relativeFrom="column">
                    <wp:posOffset>-545465</wp:posOffset>
                  </wp:positionH>
                  <wp:positionV relativeFrom="page">
                    <wp:posOffset>60325</wp:posOffset>
                  </wp:positionV>
                  <wp:extent cx="447675" cy="447675"/>
                  <wp:effectExtent l="0" t="0" r="9525" b="9525"/>
                  <wp:wrapTight wrapText="bothSides">
                    <wp:wrapPolygon edited="0">
                      <wp:start x="0" y="0"/>
                      <wp:lineTo x="0" y="20834"/>
                      <wp:lineTo x="20834" y="20834"/>
                      <wp:lineTo x="20834" y="0"/>
                      <wp:lineTo x="0" y="0"/>
                    </wp:wrapPolygon>
                  </wp:wrapTight>
                  <wp:docPr id="18" name="Picture 18"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07E">
              <w:rPr>
                <w:rFonts w:ascii="Arial" w:hAnsi="Arial" w:cs="Arial"/>
                <w:sz w:val="20"/>
                <w:szCs w:val="20"/>
              </w:rPr>
              <w:t>Appropriate protective footwear with substantial uppers must be worn.</w:t>
            </w:r>
          </w:p>
          <w:p w14:paraId="12D42C71" w14:textId="3D0952A7" w:rsidR="0075407E" w:rsidRPr="0075407E" w:rsidRDefault="0075407E" w:rsidP="001533CB">
            <w:pPr>
              <w:spacing w:before="120"/>
              <w:rPr>
                <w:rFonts w:ascii="Arial" w:hAnsi="Arial" w:cs="Arial"/>
                <w:sz w:val="20"/>
                <w:szCs w:val="20"/>
              </w:rPr>
            </w:pPr>
          </w:p>
        </w:tc>
        <w:tc>
          <w:tcPr>
            <w:tcW w:w="2515" w:type="pct"/>
            <w:vAlign w:val="center"/>
          </w:tcPr>
          <w:p w14:paraId="70B99FDF" w14:textId="77777777" w:rsidR="001533CB" w:rsidRPr="007A5BC1" w:rsidRDefault="001533CB" w:rsidP="001533CB">
            <w:pPr>
              <w:spacing w:before="60"/>
              <w:rPr>
                <w:rFonts w:ascii="Arial" w:hAnsi="Arial" w:cs="Arial"/>
                <w:sz w:val="20"/>
                <w:szCs w:val="20"/>
              </w:rPr>
            </w:pPr>
            <w:r>
              <w:rPr>
                <w:noProof/>
                <w:lang w:eastAsia="zh-TW"/>
              </w:rPr>
              <w:drawing>
                <wp:anchor distT="0" distB="0" distL="114300" distR="114300" simplePos="0" relativeHeight="251698688" behindDoc="0" locked="0" layoutInCell="1" allowOverlap="1" wp14:anchorId="4E6A863B" wp14:editId="5F92D58C">
                  <wp:simplePos x="3895106" y="1870364"/>
                  <wp:positionH relativeFrom="margin">
                    <wp:posOffset>120015</wp:posOffset>
                  </wp:positionH>
                  <wp:positionV relativeFrom="margin">
                    <wp:posOffset>-163195</wp:posOffset>
                  </wp:positionV>
                  <wp:extent cx="396240" cy="396240"/>
                  <wp:effectExtent l="0" t="0" r="3810" b="3810"/>
                  <wp:wrapSquare wrapText="bothSides"/>
                  <wp:docPr id="130" name="Picture 100" descr="Description: Hand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escription: Hand Protection circ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Wear heavy duty work gloves to absorb vibration. </w:t>
            </w:r>
          </w:p>
        </w:tc>
      </w:tr>
    </w:tbl>
    <w:p w14:paraId="1D0087B1" w14:textId="77777777" w:rsidR="009B10CB" w:rsidRDefault="009B10CB" w:rsidP="00666EA3">
      <w:pPr>
        <w:pStyle w:val="Heading3"/>
        <w:shd w:val="clear" w:color="auto" w:fill="FFCC00"/>
        <w:ind w:left="-180" w:right="-236" w:firstLine="180"/>
        <w:rPr>
          <w:rFonts w:ascii="Arial" w:hAnsi="Arial" w:cs="Arial"/>
          <w:sz w:val="8"/>
        </w:rPr>
      </w:pPr>
    </w:p>
    <w:p w14:paraId="38624527" w14:textId="77777777" w:rsidR="009B10CB" w:rsidRPr="00D6367C" w:rsidRDefault="005874D1" w:rsidP="004F12F1">
      <w:pPr>
        <w:pStyle w:val="Heading3"/>
        <w:shd w:val="clear" w:color="auto" w:fill="FFCC00"/>
        <w:ind w:left="-180" w:right="-236" w:firstLine="180"/>
        <w:jc w:val="center"/>
        <w:rPr>
          <w:rFonts w:ascii="Arial" w:hAnsi="Arial" w:cs="Arial"/>
          <w:b/>
          <w:sz w:val="22"/>
          <w:szCs w:val="22"/>
        </w:rPr>
      </w:pPr>
      <w:r w:rsidRPr="00D6367C">
        <w:rPr>
          <w:rFonts w:ascii="Arial" w:hAnsi="Arial" w:cs="Arial"/>
          <w:b/>
          <w:sz w:val="22"/>
          <w:szCs w:val="22"/>
        </w:rPr>
        <w:t xml:space="preserve">DO NOT use faulty equipment – report this immediately to </w:t>
      </w:r>
      <w:r w:rsidR="009406B6">
        <w:rPr>
          <w:rFonts w:ascii="Arial" w:hAnsi="Arial" w:cs="Arial"/>
          <w:b/>
          <w:sz w:val="22"/>
          <w:szCs w:val="22"/>
        </w:rPr>
        <w:t>the Supervisor</w:t>
      </w:r>
    </w:p>
    <w:p w14:paraId="2D03B752" w14:textId="77777777" w:rsidR="009B10CB" w:rsidRDefault="009B10CB" w:rsidP="00666EA3">
      <w:pPr>
        <w:pStyle w:val="Heading3"/>
        <w:shd w:val="clear" w:color="auto" w:fill="FFCC00"/>
        <w:ind w:left="-180" w:right="-236" w:firstLine="180"/>
        <w:rPr>
          <w:rFonts w:ascii="Arial" w:hAnsi="Arial"/>
          <w:bCs/>
          <w:color w:val="000080"/>
          <w:sz w:val="8"/>
        </w:rPr>
      </w:pPr>
    </w:p>
    <w:p w14:paraId="029C8994"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4A569C80" w14:textId="77777777" w:rsidR="009B10CB" w:rsidRPr="00D6367C" w:rsidRDefault="009B10CB" w:rsidP="0075407E">
      <w:pPr>
        <w:pStyle w:val="Heading3"/>
        <w:pBdr>
          <w:top w:val="single" w:sz="8" w:space="0" w:color="990033"/>
          <w:left w:val="single" w:sz="8" w:space="4" w:color="990033"/>
          <w:bottom w:val="single" w:sz="8" w:space="0" w:color="990033"/>
          <w:right w:val="single" w:sz="8" w:space="4" w:color="990033"/>
        </w:pBdr>
        <w:rPr>
          <w:rFonts w:ascii="Arial" w:hAnsi="Arial"/>
          <w:b/>
          <w:color w:val="990033"/>
          <w:sz w:val="24"/>
          <w:szCs w:val="24"/>
        </w:rPr>
      </w:pPr>
      <w:r w:rsidRPr="00D6367C">
        <w:rPr>
          <w:rFonts w:ascii="Arial" w:hAnsi="Arial"/>
          <w:b/>
          <w:color w:val="990033"/>
          <w:sz w:val="24"/>
          <w:szCs w:val="24"/>
        </w:rPr>
        <w:t>PRE-OPERATIONAL SAFETY CHECKS</w:t>
      </w:r>
    </w:p>
    <w:p w14:paraId="77BEBB02" w14:textId="77777777" w:rsidR="00C47E37" w:rsidRPr="002879BB" w:rsidRDefault="00C47E37" w:rsidP="0075407E">
      <w:pPr>
        <w:numPr>
          <w:ilvl w:val="0"/>
          <w:numId w:val="3"/>
        </w:numPr>
        <w:pBdr>
          <w:top w:val="single" w:sz="8" w:space="0"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2879BB">
        <w:rPr>
          <w:rFonts w:ascii="Arial" w:hAnsi="Arial"/>
          <w:b/>
          <w:sz w:val="20"/>
          <w:szCs w:val="19"/>
        </w:rPr>
        <w:t>Visually check the condition of the trolley jack for damage.</w:t>
      </w:r>
    </w:p>
    <w:p w14:paraId="6B192AC5" w14:textId="77777777" w:rsidR="00C47E37" w:rsidRPr="001533CB" w:rsidRDefault="00C47E37" w:rsidP="0075407E">
      <w:pPr>
        <w:numPr>
          <w:ilvl w:val="0"/>
          <w:numId w:val="3"/>
        </w:numPr>
        <w:pBdr>
          <w:top w:val="single" w:sz="8" w:space="0"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2879BB">
        <w:rPr>
          <w:rFonts w:ascii="Arial" w:hAnsi="Arial"/>
          <w:b/>
          <w:sz w:val="20"/>
          <w:szCs w:val="19"/>
        </w:rPr>
        <w:t>Check that the jack is labelled with a sticker indicating</w:t>
      </w:r>
      <w:r w:rsidR="001533CB">
        <w:rPr>
          <w:rFonts w:ascii="Arial" w:hAnsi="Arial"/>
          <w:b/>
          <w:sz w:val="20"/>
          <w:szCs w:val="19"/>
        </w:rPr>
        <w:t xml:space="preserve"> safe working load.</w:t>
      </w:r>
    </w:p>
    <w:p w14:paraId="3F8AA8E6" w14:textId="77777777" w:rsidR="00C47E37" w:rsidRPr="002879BB" w:rsidRDefault="00C47E37" w:rsidP="0075407E">
      <w:pPr>
        <w:numPr>
          <w:ilvl w:val="0"/>
          <w:numId w:val="3"/>
        </w:numPr>
        <w:pBdr>
          <w:top w:val="single" w:sz="8" w:space="0"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2879BB">
        <w:rPr>
          <w:rFonts w:ascii="Arial" w:hAnsi="Arial"/>
          <w:b/>
          <w:sz w:val="20"/>
          <w:szCs w:val="19"/>
        </w:rPr>
        <w:t xml:space="preserve">Familiarise yourself with the safe operation of this </w:t>
      </w:r>
      <w:r w:rsidR="009406B6">
        <w:rPr>
          <w:rFonts w:ascii="Arial" w:hAnsi="Arial"/>
          <w:b/>
          <w:sz w:val="20"/>
          <w:szCs w:val="19"/>
        </w:rPr>
        <w:t>pallet jack.</w:t>
      </w:r>
      <w:r w:rsidRPr="002879BB">
        <w:rPr>
          <w:rFonts w:ascii="Arial" w:hAnsi="Arial"/>
          <w:b/>
          <w:sz w:val="20"/>
          <w:szCs w:val="19"/>
        </w:rPr>
        <w:t xml:space="preserve"> </w:t>
      </w:r>
      <w:r w:rsidR="009406B6">
        <w:rPr>
          <w:rFonts w:ascii="Arial" w:hAnsi="Arial"/>
          <w:b/>
          <w:sz w:val="20"/>
          <w:szCs w:val="19"/>
        </w:rPr>
        <w:t>i</w:t>
      </w:r>
      <w:r w:rsidRPr="002879BB">
        <w:rPr>
          <w:rFonts w:ascii="Arial" w:hAnsi="Arial"/>
          <w:b/>
          <w:sz w:val="20"/>
          <w:szCs w:val="19"/>
        </w:rPr>
        <w:t>.e. ensure you can safely raise and lower the jack</w:t>
      </w:r>
      <w:r w:rsidR="009406B6">
        <w:rPr>
          <w:rFonts w:ascii="Arial" w:hAnsi="Arial"/>
          <w:b/>
          <w:sz w:val="20"/>
          <w:szCs w:val="19"/>
        </w:rPr>
        <w:t xml:space="preserve"> before add any load</w:t>
      </w:r>
      <w:r w:rsidRPr="002879BB">
        <w:rPr>
          <w:rFonts w:ascii="Arial" w:hAnsi="Arial"/>
          <w:b/>
          <w:sz w:val="20"/>
          <w:szCs w:val="19"/>
        </w:rPr>
        <w:t xml:space="preserve">. </w:t>
      </w:r>
    </w:p>
    <w:p w14:paraId="457E5798" w14:textId="77777777" w:rsidR="00C47E37" w:rsidRPr="002879BB" w:rsidRDefault="00C47E37" w:rsidP="0075407E">
      <w:pPr>
        <w:numPr>
          <w:ilvl w:val="0"/>
          <w:numId w:val="3"/>
        </w:numPr>
        <w:pBdr>
          <w:top w:val="single" w:sz="8" w:space="0"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2879BB">
        <w:rPr>
          <w:rFonts w:ascii="Arial" w:hAnsi="Arial"/>
          <w:b/>
          <w:sz w:val="20"/>
          <w:szCs w:val="19"/>
        </w:rPr>
        <w:t xml:space="preserve">Ensure the floor surface you are rolling the jack on is hard, level and unobstructed. </w:t>
      </w:r>
    </w:p>
    <w:p w14:paraId="1AF34C78" w14:textId="77777777" w:rsidR="00C47E37" w:rsidRPr="002879BB" w:rsidRDefault="00C47E37" w:rsidP="0075407E">
      <w:pPr>
        <w:numPr>
          <w:ilvl w:val="0"/>
          <w:numId w:val="3"/>
        </w:numPr>
        <w:pBdr>
          <w:top w:val="single" w:sz="8" w:space="0" w:color="990033"/>
          <w:left w:val="single" w:sz="8" w:space="4" w:color="990033"/>
          <w:bottom w:val="single" w:sz="8" w:space="0" w:color="990033"/>
          <w:right w:val="single" w:sz="8" w:space="4" w:color="990033"/>
        </w:pBdr>
        <w:spacing w:before="40"/>
        <w:ind w:left="357" w:hanging="357"/>
        <w:rPr>
          <w:rFonts w:ascii="Arial" w:hAnsi="Arial"/>
          <w:b/>
          <w:sz w:val="20"/>
          <w:szCs w:val="19"/>
        </w:rPr>
      </w:pPr>
      <w:r w:rsidRPr="002879BB">
        <w:rPr>
          <w:rFonts w:ascii="Arial" w:hAnsi="Arial"/>
          <w:b/>
          <w:sz w:val="20"/>
          <w:szCs w:val="19"/>
        </w:rPr>
        <w:t xml:space="preserve">Familiarise yourself with the safe working limit of the trolley jack. </w:t>
      </w:r>
    </w:p>
    <w:p w14:paraId="02C960CE" w14:textId="77777777" w:rsidR="009B10CB" w:rsidRPr="00A77C63" w:rsidRDefault="009B10CB" w:rsidP="0075407E">
      <w:pPr>
        <w:pBdr>
          <w:top w:val="single" w:sz="8" w:space="0" w:color="990033"/>
          <w:left w:val="single" w:sz="8" w:space="4" w:color="990033"/>
          <w:bottom w:val="single" w:sz="8" w:space="0" w:color="990033"/>
          <w:right w:val="single" w:sz="8" w:space="4" w:color="990033"/>
        </w:pBdr>
        <w:rPr>
          <w:rFonts w:ascii="Arial" w:hAnsi="Arial"/>
          <w:b/>
          <w:sz w:val="10"/>
          <w:szCs w:val="10"/>
        </w:rPr>
      </w:pPr>
      <w:r w:rsidRPr="00A77C63">
        <w:rPr>
          <w:rFonts w:ascii="Arial" w:hAnsi="Arial"/>
          <w:b/>
          <w:sz w:val="10"/>
          <w:szCs w:val="10"/>
        </w:rPr>
        <w:t xml:space="preserve"> </w:t>
      </w:r>
    </w:p>
    <w:p w14:paraId="02935DB6" w14:textId="77777777" w:rsidR="009B10CB" w:rsidRPr="00D6367C" w:rsidRDefault="009B10CB">
      <w:pPr>
        <w:pStyle w:val="Header"/>
        <w:tabs>
          <w:tab w:val="clear" w:pos="4153"/>
          <w:tab w:val="clear" w:pos="8306"/>
        </w:tabs>
        <w:rPr>
          <w:sz w:val="8"/>
          <w:szCs w:val="8"/>
          <w:lang w:val="en-US"/>
        </w:rPr>
      </w:pPr>
    </w:p>
    <w:p w14:paraId="6A7EBC4D" w14:textId="77777777" w:rsidR="009B10CB" w:rsidRPr="00D6367C"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OPERATIONAL SAFETY CHECKS</w:t>
      </w:r>
    </w:p>
    <w:p w14:paraId="1B0AB4C1" w14:textId="77777777" w:rsidR="00C47E37" w:rsidRPr="002879BB" w:rsidRDefault="00C47E37"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Ensure raised vehicles are supported with vehicle support stands.</w:t>
      </w:r>
    </w:p>
    <w:p w14:paraId="04C519B2" w14:textId="77777777" w:rsidR="00C47E37" w:rsidRPr="002879BB" w:rsidRDefault="00C47E37"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No person should get bodily under a vehicle supported by a hydraulic trolley jack</w:t>
      </w:r>
      <w:r w:rsidR="00C06D2E" w:rsidRPr="002879BB">
        <w:rPr>
          <w:rFonts w:ascii="Arial" w:hAnsi="Arial"/>
          <w:b/>
          <w:sz w:val="20"/>
          <w:szCs w:val="19"/>
        </w:rPr>
        <w:t>.</w:t>
      </w:r>
    </w:p>
    <w:p w14:paraId="18778361" w14:textId="77777777" w:rsidR="007831AA" w:rsidRPr="002879BB" w:rsidRDefault="007831AA"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 xml:space="preserve">Read the vehicle manufacturer’s </w:t>
      </w:r>
      <w:r w:rsidRPr="002879BB">
        <w:rPr>
          <w:rFonts w:ascii="Arial" w:hAnsi="Arial"/>
          <w:b/>
          <w:i/>
          <w:sz w:val="20"/>
          <w:szCs w:val="19"/>
        </w:rPr>
        <w:t xml:space="preserve">owner’s manual </w:t>
      </w:r>
      <w:r w:rsidRPr="002879BB">
        <w:rPr>
          <w:rFonts w:ascii="Arial" w:hAnsi="Arial"/>
          <w:b/>
          <w:sz w:val="20"/>
          <w:szCs w:val="19"/>
        </w:rPr>
        <w:t xml:space="preserve">before lifting the vehicle. </w:t>
      </w:r>
    </w:p>
    <w:p w14:paraId="3BF7DF2E" w14:textId="77777777" w:rsidR="007831AA" w:rsidRPr="002879BB" w:rsidRDefault="007831AA"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The wheels of the vehicle remaining on the ground should be chocked before the lifting operation proceeds.</w:t>
      </w:r>
    </w:p>
    <w:p w14:paraId="2F39B15E" w14:textId="77777777" w:rsidR="007831AA" w:rsidRPr="002879BB" w:rsidRDefault="007831AA"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No person should be in the vehicle during the lifting process.</w:t>
      </w:r>
    </w:p>
    <w:p w14:paraId="53562BD4" w14:textId="77777777" w:rsidR="007831AA" w:rsidRPr="002879BB" w:rsidRDefault="007831AA"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The load should be centrally located on the head cap for the lift process.</w:t>
      </w:r>
    </w:p>
    <w:p w14:paraId="2BDC4533" w14:textId="77777777" w:rsidR="007831AA" w:rsidRPr="002879BB" w:rsidRDefault="007831AA"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The trolley jack should be used to raise and lower only.</w:t>
      </w:r>
    </w:p>
    <w:p w14:paraId="3C577F8F" w14:textId="77777777" w:rsidR="00C06D2E" w:rsidRPr="002879BB" w:rsidRDefault="007831AA" w:rsidP="002879B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sidRPr="002879BB">
        <w:rPr>
          <w:rFonts w:ascii="Arial" w:hAnsi="Arial"/>
          <w:b/>
          <w:sz w:val="20"/>
          <w:szCs w:val="19"/>
        </w:rPr>
        <w:t xml:space="preserve">Ensure that lubrication or other maintenance of the </w:t>
      </w:r>
      <w:r w:rsidR="009406B6">
        <w:rPr>
          <w:rFonts w:ascii="Arial" w:hAnsi="Arial"/>
          <w:b/>
          <w:sz w:val="20"/>
          <w:szCs w:val="19"/>
        </w:rPr>
        <w:t>pallet</w:t>
      </w:r>
      <w:r w:rsidRPr="002879BB">
        <w:rPr>
          <w:rFonts w:ascii="Arial" w:hAnsi="Arial"/>
          <w:b/>
          <w:sz w:val="20"/>
          <w:szCs w:val="19"/>
        </w:rPr>
        <w:t xml:space="preserve"> jack is carried out according to the manufacturer’s instructions. </w:t>
      </w:r>
      <w:r w:rsidR="00C06D2E" w:rsidRPr="002879BB">
        <w:rPr>
          <w:rFonts w:ascii="Arial" w:hAnsi="Arial"/>
          <w:b/>
          <w:sz w:val="20"/>
          <w:szCs w:val="19"/>
        </w:rPr>
        <w:t xml:space="preserve"> </w:t>
      </w:r>
    </w:p>
    <w:p w14:paraId="03C5561D"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8"/>
          <w:szCs w:val="8"/>
        </w:rPr>
      </w:pPr>
      <w:r w:rsidRPr="00A77C63">
        <w:rPr>
          <w:rFonts w:ascii="Arial" w:hAnsi="Arial"/>
          <w:b/>
          <w:sz w:val="8"/>
          <w:szCs w:val="8"/>
        </w:rPr>
        <w:t xml:space="preserve"> </w:t>
      </w:r>
    </w:p>
    <w:tbl>
      <w:tblPr>
        <w:tblpPr w:leftFromText="180" w:rightFromText="180" w:vertAnchor="text" w:horzAnchor="margin" w:tblpY="69"/>
        <w:tblW w:w="10206"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206"/>
      </w:tblGrid>
      <w:tr w:rsidR="000F721B" w:rsidRPr="006C4A6A" w14:paraId="46785DA7" w14:textId="77777777" w:rsidTr="00D6367C">
        <w:trPr>
          <w:trHeight w:hRule="exact" w:val="426"/>
        </w:trPr>
        <w:tc>
          <w:tcPr>
            <w:tcW w:w="5000" w:type="pct"/>
            <w:tcBorders>
              <w:top w:val="nil"/>
              <w:left w:val="nil"/>
              <w:bottom w:val="nil"/>
              <w:right w:val="nil"/>
            </w:tcBorders>
            <w:shd w:val="clear" w:color="auto" w:fill="FFCC00"/>
          </w:tcPr>
          <w:p w14:paraId="44853CC0" w14:textId="77777777" w:rsidR="000F721B" w:rsidRPr="00D6367C" w:rsidRDefault="007831AA" w:rsidP="007A5BC1">
            <w:pPr>
              <w:snapToGrid w:val="0"/>
              <w:spacing w:before="80"/>
              <w:ind w:left="170" w:right="-113" w:hanging="113"/>
              <w:jc w:val="center"/>
              <w:rPr>
                <w:rFonts w:ascii="Arial" w:hAnsi="Arial"/>
                <w:b/>
                <w:sz w:val="22"/>
                <w:szCs w:val="22"/>
                <w:lang w:val="en-US"/>
              </w:rPr>
            </w:pPr>
            <w:r>
              <w:rPr>
                <w:rFonts w:ascii="Arial" w:hAnsi="Arial" w:cs="Arial"/>
                <w:b/>
                <w:bCs/>
                <w:sz w:val="22"/>
                <w:szCs w:val="22"/>
                <w:lang w:val="en-US"/>
              </w:rPr>
              <w:t>DO NOT exceed the safe ‘working load’ of th</w:t>
            </w:r>
            <w:r w:rsidR="001533CB">
              <w:rPr>
                <w:rFonts w:ascii="Arial" w:hAnsi="Arial" w:cs="Arial"/>
                <w:b/>
                <w:bCs/>
                <w:sz w:val="22"/>
                <w:szCs w:val="22"/>
                <w:lang w:val="en-US"/>
              </w:rPr>
              <w:t>e Pallet</w:t>
            </w:r>
            <w:r>
              <w:rPr>
                <w:rFonts w:ascii="Arial" w:hAnsi="Arial" w:cs="Arial"/>
                <w:b/>
                <w:bCs/>
                <w:sz w:val="22"/>
                <w:szCs w:val="22"/>
                <w:lang w:val="en-US"/>
              </w:rPr>
              <w:t xml:space="preserve"> </w:t>
            </w:r>
            <w:r w:rsidR="009406B6">
              <w:rPr>
                <w:rFonts w:ascii="Arial" w:hAnsi="Arial" w:cs="Arial"/>
                <w:b/>
                <w:bCs/>
                <w:sz w:val="22"/>
                <w:szCs w:val="22"/>
                <w:lang w:val="en-US"/>
              </w:rPr>
              <w:t>J</w:t>
            </w:r>
            <w:r>
              <w:rPr>
                <w:rFonts w:ascii="Arial" w:hAnsi="Arial" w:cs="Arial"/>
                <w:b/>
                <w:bCs/>
                <w:sz w:val="22"/>
                <w:szCs w:val="22"/>
                <w:lang w:val="en-US"/>
              </w:rPr>
              <w:t>ack</w:t>
            </w:r>
          </w:p>
        </w:tc>
      </w:tr>
    </w:tbl>
    <w:p w14:paraId="12ADA996" w14:textId="77777777" w:rsidR="009B10CB" w:rsidRPr="00D6367C" w:rsidRDefault="009B10CB">
      <w:pPr>
        <w:rPr>
          <w:sz w:val="8"/>
          <w:szCs w:val="8"/>
          <w:lang w:val="en-US"/>
        </w:rPr>
      </w:pPr>
    </w:p>
    <w:p w14:paraId="2B4F91C5" w14:textId="77777777" w:rsidR="009B10CB" w:rsidRPr="00D6367C"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HOUSEKEEPING</w:t>
      </w:r>
    </w:p>
    <w:p w14:paraId="269807D6" w14:textId="77777777" w:rsidR="00A2756A" w:rsidRPr="002879BB" w:rsidRDefault="001533CB" w:rsidP="002879BB">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19"/>
        </w:rPr>
      </w:pPr>
      <w:r>
        <w:rPr>
          <w:rFonts w:ascii="Arial" w:hAnsi="Arial"/>
          <w:b/>
          <w:sz w:val="20"/>
          <w:szCs w:val="19"/>
        </w:rPr>
        <w:t>Park</w:t>
      </w:r>
      <w:r w:rsidR="00A2756A" w:rsidRPr="002879BB">
        <w:rPr>
          <w:rFonts w:ascii="Arial" w:hAnsi="Arial"/>
          <w:b/>
          <w:sz w:val="20"/>
          <w:szCs w:val="19"/>
        </w:rPr>
        <w:t xml:space="preserve"> the </w:t>
      </w:r>
      <w:r>
        <w:rPr>
          <w:rFonts w:ascii="Arial" w:hAnsi="Arial"/>
          <w:b/>
          <w:sz w:val="20"/>
          <w:szCs w:val="19"/>
        </w:rPr>
        <w:t>pallet jack</w:t>
      </w:r>
      <w:r w:rsidR="00A2756A" w:rsidRPr="002879BB">
        <w:rPr>
          <w:rFonts w:ascii="Arial" w:hAnsi="Arial"/>
          <w:b/>
          <w:sz w:val="20"/>
          <w:szCs w:val="19"/>
        </w:rPr>
        <w:t xml:space="preserve"> in a safe</w:t>
      </w:r>
      <w:r>
        <w:rPr>
          <w:rFonts w:ascii="Arial" w:hAnsi="Arial"/>
          <w:b/>
          <w:sz w:val="20"/>
          <w:szCs w:val="19"/>
        </w:rPr>
        <w:t xml:space="preserve"> flat location away from walkways</w:t>
      </w:r>
      <w:r w:rsidR="00A2756A" w:rsidRPr="002879BB">
        <w:rPr>
          <w:rFonts w:ascii="Arial" w:hAnsi="Arial"/>
          <w:b/>
          <w:sz w:val="20"/>
          <w:szCs w:val="19"/>
        </w:rPr>
        <w:t xml:space="preserve">. </w:t>
      </w:r>
    </w:p>
    <w:p w14:paraId="31716B58" w14:textId="77777777" w:rsidR="00C06D2E" w:rsidRPr="002879BB" w:rsidRDefault="007831AA" w:rsidP="002879BB">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19"/>
        </w:rPr>
      </w:pPr>
      <w:r w:rsidRPr="002879BB">
        <w:rPr>
          <w:rFonts w:ascii="Arial" w:hAnsi="Arial"/>
          <w:b/>
          <w:sz w:val="20"/>
          <w:szCs w:val="19"/>
        </w:rPr>
        <w:t>Ensure t</w:t>
      </w:r>
      <w:r w:rsidR="001533CB">
        <w:rPr>
          <w:rFonts w:ascii="Arial" w:hAnsi="Arial"/>
          <w:b/>
          <w:sz w:val="20"/>
          <w:szCs w:val="19"/>
        </w:rPr>
        <w:t>he</w:t>
      </w:r>
      <w:r w:rsidRPr="002879BB">
        <w:rPr>
          <w:rFonts w:ascii="Arial" w:hAnsi="Arial"/>
          <w:b/>
          <w:sz w:val="20"/>
          <w:szCs w:val="19"/>
        </w:rPr>
        <w:t xml:space="preserve"> jack </w:t>
      </w:r>
      <w:r w:rsidR="001533CB">
        <w:rPr>
          <w:rFonts w:ascii="Arial" w:hAnsi="Arial"/>
          <w:b/>
          <w:sz w:val="20"/>
          <w:szCs w:val="19"/>
        </w:rPr>
        <w:t>is positioned at the lowest level when parked</w:t>
      </w:r>
      <w:r w:rsidRPr="002879BB">
        <w:rPr>
          <w:rFonts w:ascii="Arial" w:hAnsi="Arial"/>
          <w:b/>
          <w:sz w:val="20"/>
          <w:szCs w:val="19"/>
        </w:rPr>
        <w:t xml:space="preserve">. </w:t>
      </w:r>
    </w:p>
    <w:p w14:paraId="672FD733"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315F9D44" w14:textId="77777777" w:rsidR="009B10CB" w:rsidRPr="00D6367C" w:rsidRDefault="009B10CB">
      <w:pPr>
        <w:pStyle w:val="Header"/>
        <w:rPr>
          <w:sz w:val="8"/>
          <w:szCs w:val="8"/>
        </w:rPr>
      </w:pPr>
    </w:p>
    <w:p w14:paraId="3C20F619" w14:textId="77777777" w:rsidR="009B10CB" w:rsidRPr="00D6367C"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4"/>
        </w:rPr>
      </w:pPr>
      <w:r w:rsidRPr="00D6367C">
        <w:rPr>
          <w:rFonts w:cs="Times New Roman"/>
          <w:color w:val="990033"/>
          <w:sz w:val="24"/>
        </w:rPr>
        <w:t xml:space="preserve">POTENTIAL HAZARDS  </w:t>
      </w:r>
    </w:p>
    <w:p w14:paraId="578DDFFE" w14:textId="77777777" w:rsidR="003E694A" w:rsidRPr="002879BB" w:rsidRDefault="007831AA" w:rsidP="002879BB">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20"/>
          <w:szCs w:val="19"/>
        </w:rPr>
      </w:pPr>
      <w:r w:rsidRPr="002879BB">
        <w:rPr>
          <w:rFonts w:ascii="Arial" w:hAnsi="Arial"/>
          <w:b/>
          <w:sz w:val="20"/>
          <w:szCs w:val="19"/>
        </w:rPr>
        <w:t>Hydraulic fluid under pressure</w:t>
      </w:r>
      <w:r w:rsidR="00C06D2E" w:rsidRPr="002879BB">
        <w:rPr>
          <w:rFonts w:ascii="Arial" w:hAnsi="Arial"/>
          <w:b/>
          <w:sz w:val="20"/>
          <w:szCs w:val="19"/>
        </w:rPr>
        <w:t xml:space="preserve">             </w:t>
      </w:r>
      <w:r w:rsidR="00BD2016" w:rsidRPr="002879BB">
        <w:rPr>
          <w:rFonts w:ascii="Arial" w:hAnsi="Arial"/>
          <w:b/>
          <w:sz w:val="20"/>
          <w:szCs w:val="19"/>
        </w:rPr>
        <w:t xml:space="preserve">   </w:t>
      </w:r>
      <w:r w:rsidR="0065180D" w:rsidRPr="002879BB">
        <w:rPr>
          <w:rFonts w:ascii="Arial" w:hAnsi="Arial"/>
          <w:b/>
          <w:sz w:val="20"/>
          <w:szCs w:val="19"/>
        </w:rPr>
        <w:t xml:space="preserve">  </w:t>
      </w:r>
      <w:r w:rsidR="000F721B" w:rsidRPr="002879BB">
        <w:rPr>
          <w:rFonts w:ascii="Arial" w:hAnsi="Arial"/>
          <w:b/>
          <w:sz w:val="20"/>
          <w:szCs w:val="19"/>
        </w:rPr>
        <w:t xml:space="preserve">  </w:t>
      </w:r>
      <w:r w:rsidRPr="002879BB">
        <w:rPr>
          <w:rFonts w:ascii="Arial" w:hAnsi="Arial"/>
          <w:b/>
          <w:sz w:val="20"/>
          <w:szCs w:val="19"/>
        </w:rPr>
        <w:t xml:space="preserve">                             </w:t>
      </w:r>
      <w:r w:rsidR="000F721B" w:rsidRPr="002879BB">
        <w:rPr>
          <w:rFonts w:ascii="Arial" w:hAnsi="Arial"/>
          <w:b/>
          <w:sz w:val="20"/>
          <w:szCs w:val="19"/>
        </w:rPr>
        <w:t xml:space="preserve">   </w:t>
      </w:r>
      <w:r w:rsidR="009B10CB" w:rsidRPr="002879BB">
        <w:rPr>
          <w:rFonts w:ascii="Arial" w:hAnsi="Arial"/>
          <w:b/>
          <w:sz w:val="20"/>
          <w:szCs w:val="19"/>
        </w:rPr>
        <w:sym w:font="Wingdings" w:char="F06E"/>
      </w:r>
      <w:r w:rsidR="00BD2016" w:rsidRPr="002879BB">
        <w:rPr>
          <w:rFonts w:ascii="Arial" w:hAnsi="Arial"/>
          <w:b/>
          <w:sz w:val="20"/>
          <w:szCs w:val="19"/>
        </w:rPr>
        <w:t xml:space="preserve">  </w:t>
      </w:r>
      <w:r w:rsidRPr="002879BB">
        <w:rPr>
          <w:rFonts w:ascii="Arial" w:hAnsi="Arial"/>
          <w:b/>
          <w:sz w:val="20"/>
          <w:szCs w:val="19"/>
        </w:rPr>
        <w:t>Slips, trips and falls</w:t>
      </w:r>
      <w:r w:rsidR="00D13BE2" w:rsidRPr="002879BB">
        <w:rPr>
          <w:rFonts w:ascii="Arial" w:hAnsi="Arial"/>
          <w:b/>
          <w:sz w:val="20"/>
          <w:szCs w:val="19"/>
        </w:rPr>
        <w:t xml:space="preserve">    </w:t>
      </w:r>
      <w:r w:rsidR="003E694A" w:rsidRPr="002879BB">
        <w:rPr>
          <w:rFonts w:ascii="Arial" w:hAnsi="Arial"/>
          <w:b/>
          <w:sz w:val="20"/>
          <w:szCs w:val="19"/>
        </w:rPr>
        <w:t xml:space="preserve">  </w:t>
      </w:r>
      <w:r w:rsidR="00DF1D84" w:rsidRPr="002879BB">
        <w:rPr>
          <w:rFonts w:ascii="Arial" w:hAnsi="Arial"/>
          <w:b/>
          <w:sz w:val="20"/>
          <w:szCs w:val="19"/>
        </w:rPr>
        <w:t xml:space="preserve">         </w:t>
      </w:r>
    </w:p>
    <w:p w14:paraId="78D6F4FA" w14:textId="0C218C0A" w:rsidR="009B10CB" w:rsidRPr="00A62F0A" w:rsidRDefault="007831AA" w:rsidP="002879BB">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19"/>
          <w:szCs w:val="19"/>
        </w:rPr>
      </w:pPr>
      <w:r w:rsidRPr="002879BB">
        <w:rPr>
          <w:rFonts w:ascii="Arial" w:hAnsi="Arial"/>
          <w:b/>
          <w:sz w:val="20"/>
          <w:szCs w:val="19"/>
        </w:rPr>
        <w:t>Manual handling – equipment and materials</w:t>
      </w:r>
      <w:r w:rsidR="00C06D2E" w:rsidRPr="002879BB">
        <w:rPr>
          <w:rFonts w:ascii="Arial" w:hAnsi="Arial"/>
          <w:b/>
          <w:sz w:val="20"/>
          <w:szCs w:val="19"/>
        </w:rPr>
        <w:t xml:space="preserve">       </w:t>
      </w:r>
      <w:r w:rsidR="00D13BE2" w:rsidRPr="002879BB">
        <w:rPr>
          <w:rFonts w:ascii="Arial" w:hAnsi="Arial"/>
          <w:b/>
          <w:sz w:val="20"/>
          <w:szCs w:val="19"/>
        </w:rPr>
        <w:t xml:space="preserve">        </w:t>
      </w:r>
      <w:r w:rsidR="000F721B" w:rsidRPr="002879BB">
        <w:rPr>
          <w:rFonts w:ascii="Arial" w:hAnsi="Arial"/>
          <w:b/>
          <w:sz w:val="20"/>
          <w:szCs w:val="19"/>
        </w:rPr>
        <w:t xml:space="preserve"> </w:t>
      </w:r>
      <w:r w:rsidR="00DF1D84" w:rsidRPr="002879BB">
        <w:rPr>
          <w:rFonts w:ascii="Arial" w:hAnsi="Arial"/>
          <w:b/>
          <w:sz w:val="20"/>
          <w:szCs w:val="19"/>
        </w:rPr>
        <w:t xml:space="preserve">             </w:t>
      </w:r>
      <w:r w:rsidR="00DF1D84" w:rsidRPr="002879BB">
        <w:rPr>
          <w:rFonts w:ascii="Arial" w:hAnsi="Arial"/>
          <w:b/>
          <w:sz w:val="20"/>
          <w:szCs w:val="19"/>
        </w:rPr>
        <w:sym w:font="Wingdings" w:char="F06E"/>
      </w:r>
      <w:r w:rsidR="00DF1D84" w:rsidRPr="002879BB">
        <w:rPr>
          <w:rFonts w:ascii="Arial" w:hAnsi="Arial"/>
          <w:b/>
          <w:sz w:val="20"/>
          <w:szCs w:val="19"/>
        </w:rPr>
        <w:t xml:space="preserve">  </w:t>
      </w:r>
      <w:r w:rsidRPr="002879BB">
        <w:rPr>
          <w:rFonts w:ascii="Arial" w:hAnsi="Arial"/>
          <w:b/>
          <w:sz w:val="20"/>
          <w:szCs w:val="19"/>
        </w:rPr>
        <w:t>Heavy loads</w:t>
      </w:r>
      <w:r w:rsidR="0065180D" w:rsidRPr="002879BB">
        <w:rPr>
          <w:rFonts w:ascii="Arial" w:hAnsi="Arial"/>
          <w:b/>
          <w:sz w:val="20"/>
          <w:szCs w:val="19"/>
        </w:rPr>
        <w:t xml:space="preserve"> </w:t>
      </w:r>
    </w:p>
    <w:p w14:paraId="7E06250F" w14:textId="4CC8B0F3" w:rsidR="00A62F0A" w:rsidRDefault="00A62F0A" w:rsidP="00A62F0A">
      <w:pPr>
        <w:rPr>
          <w:rFonts w:ascii="Arial" w:hAnsi="Arial"/>
          <w:b/>
          <w:sz w:val="20"/>
          <w:szCs w:val="19"/>
        </w:rPr>
      </w:pPr>
    </w:p>
    <w:p w14:paraId="1288126E" w14:textId="77777777" w:rsidR="00A62F0A" w:rsidRDefault="00A62F0A" w:rsidP="00A62F0A">
      <w:pPr>
        <w:pStyle w:val="p1"/>
        <w:jc w:val="center"/>
        <w:rPr>
          <w:sz w:val="16"/>
          <w:szCs w:val="16"/>
        </w:rPr>
      </w:pPr>
    </w:p>
    <w:p w14:paraId="0937D191" w14:textId="77777777" w:rsidR="00A62F0A" w:rsidRDefault="00A62F0A" w:rsidP="00A62F0A">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5CE6C94E" w14:textId="77777777" w:rsidR="00A62F0A" w:rsidRDefault="00A62F0A" w:rsidP="00A62F0A">
      <w:pPr>
        <w:pStyle w:val="p1"/>
        <w:rPr>
          <w:sz w:val="16"/>
          <w:szCs w:val="16"/>
        </w:rPr>
      </w:pPr>
      <w:bookmarkStart w:id="0" w:name="_GoBack"/>
      <w:bookmarkEnd w:id="0"/>
    </w:p>
    <w:p w14:paraId="1CC5A9B4" w14:textId="77777777" w:rsidR="00A62F0A" w:rsidRDefault="00A62F0A" w:rsidP="00A62F0A">
      <w:pPr>
        <w:pStyle w:val="p1"/>
        <w:jc w:val="center"/>
        <w:rPr>
          <w:sz w:val="16"/>
          <w:szCs w:val="16"/>
        </w:rPr>
      </w:pPr>
    </w:p>
    <w:p w14:paraId="660C153C" w14:textId="77777777" w:rsidR="00A62F0A" w:rsidRPr="00416FDC" w:rsidRDefault="00A62F0A" w:rsidP="00A62F0A">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78979D7F" w14:textId="77777777" w:rsidR="00A62F0A" w:rsidRPr="00416FDC" w:rsidRDefault="00A62F0A" w:rsidP="00A62F0A">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6B821742" w14:textId="77777777" w:rsidR="00A62F0A" w:rsidRPr="00416FDC" w:rsidRDefault="00A62F0A" w:rsidP="00A62F0A">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4D14FE0B" wp14:editId="3962D81E">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2009D4DC" wp14:editId="3437CD38">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8C31E35" w14:textId="77777777" w:rsidR="00A62F0A" w:rsidRDefault="00A62F0A" w:rsidP="00A62F0A">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6" w:history="1">
        <w:r w:rsidRPr="00416FDC">
          <w:rPr>
            <w:rFonts w:ascii="Arial" w:eastAsia="MS Mincho" w:hAnsi="Arial" w:cs="Arial"/>
            <w:color w:val="0000FF"/>
            <w:sz w:val="20"/>
            <w:u w:val="single"/>
            <w:lang w:val="en-US"/>
          </w:rPr>
          <w:t>http://creativecommons.org/licenses/by/3.0/au</w:t>
        </w:r>
      </w:hyperlink>
    </w:p>
    <w:p w14:paraId="706AD25C" w14:textId="77777777" w:rsidR="00A62F0A" w:rsidRPr="004E0E01" w:rsidRDefault="00A62F0A" w:rsidP="00A62F0A">
      <w:pPr>
        <w:pStyle w:val="p1"/>
        <w:jc w:val="center"/>
        <w:rPr>
          <w:rFonts w:ascii="Arial" w:hAnsi="Arial"/>
          <w:sz w:val="2"/>
          <w:szCs w:val="2"/>
        </w:rPr>
      </w:pPr>
    </w:p>
    <w:p w14:paraId="4A3947E6" w14:textId="77777777" w:rsidR="00A62F0A" w:rsidRPr="00A62F0A" w:rsidRDefault="00A62F0A" w:rsidP="00A62F0A">
      <w:pPr>
        <w:jc w:val="right"/>
        <w:rPr>
          <w:rFonts w:ascii="Arial" w:hAnsi="Arial"/>
          <w:sz w:val="19"/>
          <w:szCs w:val="19"/>
        </w:rPr>
      </w:pPr>
    </w:p>
    <w:sectPr w:rsidR="00A62F0A" w:rsidRPr="00A62F0A" w:rsidSect="00722588">
      <w:footerReference w:type="default" r:id="rId17"/>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D655" w14:textId="77777777" w:rsidR="00AF345F" w:rsidRDefault="00AF345F">
      <w:r>
        <w:separator/>
      </w:r>
    </w:p>
  </w:endnote>
  <w:endnote w:type="continuationSeparator" w:id="0">
    <w:p w14:paraId="3C563F89" w14:textId="77777777" w:rsidR="00AF345F" w:rsidRDefault="00AF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A62F0A" w:rsidRPr="00416FDC" w14:paraId="029AF1DC" w14:textId="77777777" w:rsidTr="00EE3499">
      <w:trPr>
        <w:trHeight w:val="163"/>
        <w:jc w:val="center"/>
      </w:trPr>
      <w:tc>
        <w:tcPr>
          <w:tcW w:w="7995" w:type="dxa"/>
          <w:gridSpan w:val="4"/>
          <w:shd w:val="clear" w:color="auto" w:fill="auto"/>
        </w:tcPr>
        <w:p w14:paraId="0AF7E34C" w14:textId="77777777" w:rsidR="00A62F0A" w:rsidRPr="00416FDC" w:rsidRDefault="00A62F0A" w:rsidP="00A62F0A">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62D78F22" w14:textId="77777777" w:rsidR="00A62F0A" w:rsidRPr="00416FDC" w:rsidRDefault="00A62F0A" w:rsidP="00A62F0A">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A62F0A" w:rsidRPr="00416FDC" w14:paraId="3B8F258B" w14:textId="77777777" w:rsidTr="00EE3499">
      <w:trPr>
        <w:trHeight w:val="156"/>
        <w:jc w:val="center"/>
      </w:trPr>
      <w:tc>
        <w:tcPr>
          <w:tcW w:w="2648" w:type="dxa"/>
          <w:shd w:val="clear" w:color="auto" w:fill="C0C0C0"/>
          <w:vAlign w:val="center"/>
        </w:tcPr>
        <w:p w14:paraId="0D3D249F" w14:textId="77777777" w:rsidR="00A62F0A" w:rsidRPr="00416FDC" w:rsidRDefault="00A62F0A" w:rsidP="00A62F0A">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Authorised by: Daniel Flood</w:t>
          </w:r>
        </w:p>
      </w:tc>
      <w:tc>
        <w:tcPr>
          <w:tcW w:w="2649" w:type="dxa"/>
          <w:shd w:val="clear" w:color="auto" w:fill="C0C0C0"/>
          <w:vAlign w:val="center"/>
        </w:tcPr>
        <w:p w14:paraId="7DB294DE" w14:textId="77777777" w:rsidR="00A62F0A" w:rsidRPr="00416FDC" w:rsidRDefault="00A62F0A" w:rsidP="00A62F0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470606D1" w14:textId="77777777" w:rsidR="00A62F0A" w:rsidRPr="00416FDC" w:rsidRDefault="00A62F0A" w:rsidP="00A62F0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4D406C7F" w14:textId="77777777" w:rsidR="00A62F0A" w:rsidRPr="00416FDC" w:rsidRDefault="00A62F0A" w:rsidP="00A62F0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A62F0A" w:rsidRPr="00416FDC" w14:paraId="61AF86C8" w14:textId="77777777" w:rsidTr="00EE3499">
      <w:trPr>
        <w:trHeight w:val="156"/>
        <w:jc w:val="center"/>
      </w:trPr>
      <w:tc>
        <w:tcPr>
          <w:tcW w:w="2648" w:type="dxa"/>
          <w:shd w:val="clear" w:color="auto" w:fill="FFFFFF"/>
          <w:vAlign w:val="center"/>
        </w:tcPr>
        <w:p w14:paraId="7DA0246D" w14:textId="77777777" w:rsidR="00A62F0A" w:rsidRPr="00416FDC" w:rsidRDefault="00A62F0A" w:rsidP="00A62F0A">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3A26F20" w14:textId="77777777" w:rsidR="00A62F0A" w:rsidRPr="00416FDC" w:rsidRDefault="00A62F0A" w:rsidP="00A62F0A">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098DC61E" w14:textId="77777777" w:rsidR="00A62F0A" w:rsidRPr="00416FDC" w:rsidRDefault="00A62F0A" w:rsidP="00A62F0A">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1EF615D0" w14:textId="77777777" w:rsidR="00A62F0A" w:rsidRPr="00416FDC" w:rsidRDefault="00A62F0A" w:rsidP="00A62F0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07C3720" w14:textId="77777777" w:rsidR="00A62F0A" w:rsidRPr="00A62F0A" w:rsidRDefault="00A62F0A" w:rsidP="00A62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1C39E" w14:textId="77777777" w:rsidR="00AF345F" w:rsidRDefault="00AF345F">
      <w:r>
        <w:separator/>
      </w:r>
    </w:p>
  </w:footnote>
  <w:footnote w:type="continuationSeparator" w:id="0">
    <w:p w14:paraId="470EDEAD" w14:textId="77777777" w:rsidR="00AF345F" w:rsidRDefault="00AF3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31861"/>
    <w:rsid w:val="000368C7"/>
    <w:rsid w:val="000F721B"/>
    <w:rsid w:val="001533CB"/>
    <w:rsid w:val="002100E9"/>
    <w:rsid w:val="00210924"/>
    <w:rsid w:val="00236874"/>
    <w:rsid w:val="002879BB"/>
    <w:rsid w:val="002B7735"/>
    <w:rsid w:val="002C7644"/>
    <w:rsid w:val="002F297D"/>
    <w:rsid w:val="0036298C"/>
    <w:rsid w:val="0039660F"/>
    <w:rsid w:val="003D2C1E"/>
    <w:rsid w:val="003E3FB2"/>
    <w:rsid w:val="003E694A"/>
    <w:rsid w:val="00400E23"/>
    <w:rsid w:val="0040241D"/>
    <w:rsid w:val="00432CEC"/>
    <w:rsid w:val="00440897"/>
    <w:rsid w:val="004B68B3"/>
    <w:rsid w:val="004D5F4F"/>
    <w:rsid w:val="004F12F1"/>
    <w:rsid w:val="00547EBD"/>
    <w:rsid w:val="00555459"/>
    <w:rsid w:val="005874D1"/>
    <w:rsid w:val="005941F6"/>
    <w:rsid w:val="005A342C"/>
    <w:rsid w:val="005B434A"/>
    <w:rsid w:val="005C4346"/>
    <w:rsid w:val="0063137C"/>
    <w:rsid w:val="0065180D"/>
    <w:rsid w:val="006657AD"/>
    <w:rsid w:val="00666EA3"/>
    <w:rsid w:val="006A07E8"/>
    <w:rsid w:val="006A0D69"/>
    <w:rsid w:val="00722588"/>
    <w:rsid w:val="00740C1B"/>
    <w:rsid w:val="00745CF7"/>
    <w:rsid w:val="0075407E"/>
    <w:rsid w:val="007831AA"/>
    <w:rsid w:val="007847C3"/>
    <w:rsid w:val="007A5B67"/>
    <w:rsid w:val="007A5BC1"/>
    <w:rsid w:val="007B531E"/>
    <w:rsid w:val="00816522"/>
    <w:rsid w:val="00852C26"/>
    <w:rsid w:val="00871E69"/>
    <w:rsid w:val="008B445A"/>
    <w:rsid w:val="008C208B"/>
    <w:rsid w:val="00901C60"/>
    <w:rsid w:val="00910662"/>
    <w:rsid w:val="009206CD"/>
    <w:rsid w:val="009346CC"/>
    <w:rsid w:val="009406B6"/>
    <w:rsid w:val="009B10CB"/>
    <w:rsid w:val="009D0414"/>
    <w:rsid w:val="00A02EF0"/>
    <w:rsid w:val="00A178DB"/>
    <w:rsid w:val="00A2756A"/>
    <w:rsid w:val="00A62F0A"/>
    <w:rsid w:val="00A67EA2"/>
    <w:rsid w:val="00A77C63"/>
    <w:rsid w:val="00AF345F"/>
    <w:rsid w:val="00B71248"/>
    <w:rsid w:val="00B9730E"/>
    <w:rsid w:val="00BA05CA"/>
    <w:rsid w:val="00BB1A2F"/>
    <w:rsid w:val="00BC67B6"/>
    <w:rsid w:val="00BD2016"/>
    <w:rsid w:val="00BD6164"/>
    <w:rsid w:val="00C06D2E"/>
    <w:rsid w:val="00C25777"/>
    <w:rsid w:val="00C428BA"/>
    <w:rsid w:val="00C47E37"/>
    <w:rsid w:val="00D13BE2"/>
    <w:rsid w:val="00D3351A"/>
    <w:rsid w:val="00D340AE"/>
    <w:rsid w:val="00D6367C"/>
    <w:rsid w:val="00D93687"/>
    <w:rsid w:val="00DF1D84"/>
    <w:rsid w:val="00DF7B11"/>
    <w:rsid w:val="00E90CC8"/>
    <w:rsid w:val="00ED113E"/>
    <w:rsid w:val="00F177EA"/>
    <w:rsid w:val="00FA1606"/>
    <w:rsid w:val="00FB1A0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46B77F"/>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character" w:customStyle="1" w:styleId="FooterChar">
    <w:name w:val="Footer Char"/>
    <w:basedOn w:val="DefaultParagraphFont"/>
    <w:link w:val="Footer"/>
    <w:rsid w:val="00E90CC8"/>
    <w:rPr>
      <w:sz w:val="24"/>
      <w:szCs w:val="24"/>
      <w:lang w:eastAsia="en-US"/>
    </w:rPr>
  </w:style>
  <w:style w:type="paragraph" w:customStyle="1" w:styleId="p1">
    <w:name w:val="p1"/>
    <w:basedOn w:val="Normal"/>
    <w:rsid w:val="00A62F0A"/>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C1CBB-7D14-48C5-823F-98A0FCD63E44}">
  <ds:schemaRefs>
    <ds:schemaRef ds:uri="http://purl.org/dc/elements/1.1/"/>
    <ds:schemaRef ds:uri="f114f5df-7614-43c1-ba8e-2daa6e537108"/>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7C62DFD-C7EC-45B7-903C-8B4F699A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EBEAB-FCD2-4DA2-AEA1-9D483CB9C123}">
  <ds:schemaRefs>
    <ds:schemaRef ds:uri="http://schemas.microsoft.com/sharepoint/v3/contenttype/forms"/>
  </ds:schemaRefs>
</ds:datastoreItem>
</file>

<file path=customXml/itemProps4.xml><?xml version="1.0" encoding="utf-8"?>
<ds:datastoreItem xmlns:ds="http://schemas.openxmlformats.org/officeDocument/2006/customXml" ds:itemID="{B68F2C09-22D0-4A4D-A609-637CF685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2127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Safe operating procedure - Trolley jack</vt:lpstr>
    </vt:vector>
  </TitlesOfParts>
  <Company>DETE</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Trolley jack</dc:title>
  <dc:subject/>
  <dc:creator>COOPER, Philip;CLARK, Brian</dc:creator>
  <cp:keywords>DETE, Education Queensland</cp:keywords>
  <cp:lastModifiedBy>Andrei Maberley</cp:lastModifiedBy>
  <cp:revision>5</cp:revision>
  <cp:lastPrinted>2012-01-05T01:06:00Z</cp:lastPrinted>
  <dcterms:created xsi:type="dcterms:W3CDTF">2020-02-11T05:21:00Z</dcterms:created>
  <dcterms:modified xsi:type="dcterms:W3CDTF">2020-10-13T03:52:00Z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