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C64C" w14:textId="28B75225" w:rsidR="00285B42" w:rsidRDefault="00353506">
      <w:r w:rsidRPr="00285B42">
        <w:drawing>
          <wp:anchor distT="0" distB="0" distL="114300" distR="114300" simplePos="0" relativeHeight="251680256" behindDoc="0" locked="0" layoutInCell="1" allowOverlap="1" wp14:anchorId="0DCE6E2F" wp14:editId="15F04FFE">
            <wp:simplePos x="0" y="0"/>
            <wp:positionH relativeFrom="column">
              <wp:posOffset>5369560</wp:posOffset>
            </wp:positionH>
            <wp:positionV relativeFrom="page">
              <wp:posOffset>279606</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5B42">
        <w:drawing>
          <wp:anchor distT="0" distB="0" distL="114300" distR="114300" simplePos="0" relativeHeight="251681280" behindDoc="0" locked="0" layoutInCell="1" allowOverlap="1" wp14:anchorId="31A0E1D1" wp14:editId="1BD71DC0">
            <wp:simplePos x="0" y="0"/>
            <wp:positionH relativeFrom="column">
              <wp:posOffset>-429</wp:posOffset>
            </wp:positionH>
            <wp:positionV relativeFrom="paragraph">
              <wp:posOffset>19050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0D410B48" w14:textId="77777777" w:rsidTr="007B531E">
        <w:trPr>
          <w:trHeight w:hRule="exact" w:val="1276"/>
        </w:trPr>
        <w:tc>
          <w:tcPr>
            <w:tcW w:w="5000" w:type="pct"/>
            <w:gridSpan w:val="2"/>
            <w:shd w:val="clear" w:color="auto" w:fill="auto"/>
            <w:vAlign w:val="center"/>
          </w:tcPr>
          <w:p w14:paraId="3435C130" w14:textId="5CE99D9A" w:rsidR="00B9730E" w:rsidRPr="00FB1A06" w:rsidRDefault="00285B42" w:rsidP="00432CEC">
            <w:pPr>
              <w:spacing w:before="40" w:after="20"/>
              <w:ind w:left="113" w:right="113"/>
              <w:jc w:val="center"/>
              <w:rPr>
                <w:rFonts w:ascii="Arial" w:hAnsi="Arial" w:cs="Arial"/>
                <w:b/>
                <w:i/>
                <w:noProof/>
                <w:sz w:val="30"/>
                <w:szCs w:val="30"/>
                <w:lang w:val="en-US"/>
              </w:rPr>
            </w:pPr>
            <w:r w:rsidRPr="00285B42">
              <mc:AlternateContent>
                <mc:Choice Requires="wps">
                  <w:drawing>
                    <wp:anchor distT="0" distB="0" distL="114300" distR="114300" simplePos="0" relativeHeight="251679232" behindDoc="0" locked="0" layoutInCell="1" allowOverlap="1" wp14:anchorId="7D3B2DCD" wp14:editId="60615926">
                      <wp:simplePos x="0" y="0"/>
                      <wp:positionH relativeFrom="column">
                        <wp:posOffset>1264920</wp:posOffset>
                      </wp:positionH>
                      <wp:positionV relativeFrom="paragraph">
                        <wp:posOffset>118745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63755" w14:textId="77777777" w:rsidR="00285B42" w:rsidRPr="00241717" w:rsidRDefault="00285B42" w:rsidP="00285B42">
                                  <w:pPr>
                                    <w:spacing w:line="360" w:lineRule="auto"/>
                                    <w:jc w:val="center"/>
                                    <w:rPr>
                                      <w:rFonts w:ascii="Arial" w:hAnsi="Arial" w:cs="Arial"/>
                                      <w:b/>
                                      <w:sz w:val="36"/>
                                      <w:szCs w:val="36"/>
                                    </w:rPr>
                                  </w:pPr>
                                  <w:r w:rsidRPr="00241717">
                                    <w:rPr>
                                      <w:rFonts w:ascii="Arial" w:hAnsi="Arial" w:cs="Arial"/>
                                      <w:b/>
                                      <w:sz w:val="36"/>
                                      <w:szCs w:val="36"/>
                                    </w:rPr>
                                    <w:t>SAFE OPER</w:t>
                                  </w:r>
                                  <w:bookmarkStart w:id="0" w:name="_GoBack"/>
                                  <w:bookmarkEnd w:id="0"/>
                                  <w:r w:rsidRPr="00241717">
                                    <w:rPr>
                                      <w:rFonts w:ascii="Arial" w:hAnsi="Arial" w:cs="Arial"/>
                                      <w:b/>
                                      <w:sz w:val="36"/>
                                      <w:szCs w:val="36"/>
                                    </w:rPr>
                                    <w:t>ATING PROCEDURE</w:t>
                                  </w:r>
                                </w:p>
                                <w:p w14:paraId="5A258461" w14:textId="3C346588" w:rsidR="00285B42" w:rsidRPr="00241717" w:rsidRDefault="00F57786" w:rsidP="00285B42">
                                  <w:pPr>
                                    <w:spacing w:line="360" w:lineRule="auto"/>
                                    <w:jc w:val="center"/>
                                    <w:rPr>
                                      <w:rFonts w:ascii="Arial" w:hAnsi="Arial" w:cs="Arial"/>
                                      <w:b/>
                                      <w:sz w:val="40"/>
                                      <w:szCs w:val="40"/>
                                    </w:rPr>
                                  </w:pPr>
                                  <w:r>
                                    <w:rPr>
                                      <w:rFonts w:ascii="Arial" w:hAnsi="Arial" w:cs="Arial"/>
                                      <w:b/>
                                      <w:sz w:val="40"/>
                                      <w:szCs w:val="40"/>
                                    </w:rPr>
                                    <w:t>HEAT GUN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B2DCD" id="_x0000_t202" coordsize="21600,21600" o:spt="202" path="m,l,21600r21600,l21600,xe">
                      <v:stroke joinstyle="miter"/>
                      <v:path gradientshapeok="t" o:connecttype="rect"/>
                    </v:shapetype>
                    <v:shape id="Text Box 25" o:spid="_x0000_s1026" type="#_x0000_t202" style="position:absolute;left:0;text-align:left;margin-left:99.6pt;margin-top:9.35pt;width:304.6pt;height:68.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" stroked="f">
                      <v:fill opacity="0"/>
                      <v:textbox>
                        <w:txbxContent>
                          <w:p w14:paraId="49263755" w14:textId="77777777" w:rsidR="00285B42" w:rsidRPr="00241717" w:rsidRDefault="00285B42" w:rsidP="00285B42">
                            <w:pPr>
                              <w:spacing w:line="360" w:lineRule="auto"/>
                              <w:jc w:val="center"/>
                              <w:rPr>
                                <w:rFonts w:ascii="Arial" w:hAnsi="Arial" w:cs="Arial"/>
                                <w:b/>
                                <w:sz w:val="36"/>
                                <w:szCs w:val="36"/>
                              </w:rPr>
                            </w:pPr>
                            <w:r w:rsidRPr="00241717">
                              <w:rPr>
                                <w:rFonts w:ascii="Arial" w:hAnsi="Arial" w:cs="Arial"/>
                                <w:b/>
                                <w:sz w:val="36"/>
                                <w:szCs w:val="36"/>
                              </w:rPr>
                              <w:t>SAFE OPER</w:t>
                            </w:r>
                            <w:bookmarkStart w:id="1" w:name="_GoBack"/>
                            <w:bookmarkEnd w:id="1"/>
                            <w:r w:rsidRPr="00241717">
                              <w:rPr>
                                <w:rFonts w:ascii="Arial" w:hAnsi="Arial" w:cs="Arial"/>
                                <w:b/>
                                <w:sz w:val="36"/>
                                <w:szCs w:val="36"/>
                              </w:rPr>
                              <w:t>ATING PROCEDURE</w:t>
                            </w:r>
                          </w:p>
                          <w:p w14:paraId="5A258461" w14:textId="3C346588" w:rsidR="00285B42" w:rsidRPr="00241717" w:rsidRDefault="00F57786" w:rsidP="00285B42">
                            <w:pPr>
                              <w:spacing w:line="360" w:lineRule="auto"/>
                              <w:jc w:val="center"/>
                              <w:rPr>
                                <w:rFonts w:ascii="Arial" w:hAnsi="Arial" w:cs="Arial"/>
                                <w:b/>
                                <w:sz w:val="40"/>
                                <w:szCs w:val="40"/>
                              </w:rPr>
                            </w:pPr>
                            <w:r>
                              <w:rPr>
                                <w:rFonts w:ascii="Arial" w:hAnsi="Arial" w:cs="Arial"/>
                                <w:b/>
                                <w:sz w:val="40"/>
                                <w:szCs w:val="40"/>
                              </w:rPr>
                              <w:t>HEAT GUN</w:t>
                            </w:r>
                          </w:p>
                        </w:txbxContent>
                      </v:textbox>
                    </v:shape>
                  </w:pict>
                </mc:Fallback>
              </mc:AlternateContent>
            </w:r>
          </w:p>
        </w:tc>
      </w:tr>
      <w:tr w:rsidR="007B531E" w14:paraId="144083F0" w14:textId="77777777" w:rsidTr="00285B42">
        <w:trPr>
          <w:trHeight w:hRule="exact" w:val="282"/>
        </w:trPr>
        <w:tc>
          <w:tcPr>
            <w:tcW w:w="5000" w:type="pct"/>
            <w:gridSpan w:val="2"/>
            <w:shd w:val="clear" w:color="auto" w:fill="auto"/>
            <w:vAlign w:val="center"/>
          </w:tcPr>
          <w:p w14:paraId="135A8F84" w14:textId="77777777" w:rsidR="007B531E" w:rsidRDefault="007B531E" w:rsidP="007B531E">
            <w:pPr>
              <w:ind w:right="113"/>
              <w:rPr>
                <w:rFonts w:ascii="Arial" w:hAnsi="Arial" w:cs="Arial"/>
                <w:b/>
                <w:i/>
                <w:noProof/>
                <w:sz w:val="32"/>
                <w:szCs w:val="32"/>
                <w:lang w:eastAsia="zh-TW"/>
              </w:rPr>
            </w:pPr>
          </w:p>
        </w:tc>
      </w:tr>
      <w:tr w:rsidR="00B9730E" w14:paraId="78F52DDC" w14:textId="77777777" w:rsidTr="00285B42">
        <w:trPr>
          <w:trHeight w:hRule="exact" w:val="144"/>
        </w:trPr>
        <w:tc>
          <w:tcPr>
            <w:tcW w:w="5000" w:type="pct"/>
            <w:gridSpan w:val="2"/>
            <w:shd w:val="clear" w:color="auto" w:fill="auto"/>
            <w:vAlign w:val="center"/>
          </w:tcPr>
          <w:p w14:paraId="0A123E85" w14:textId="77777777" w:rsidR="00B9730E" w:rsidRPr="00E6760B" w:rsidRDefault="00B9730E" w:rsidP="00432CEC">
            <w:pPr>
              <w:ind w:left="113" w:right="113"/>
              <w:jc w:val="center"/>
              <w:rPr>
                <w:rFonts w:ascii="Arial" w:hAnsi="Arial" w:cs="Arial"/>
                <w:b/>
                <w:noProof/>
                <w:sz w:val="30"/>
                <w:szCs w:val="30"/>
                <w:lang w:val="en-US"/>
              </w:rPr>
            </w:pPr>
          </w:p>
        </w:tc>
      </w:tr>
      <w:tr w:rsidR="00B9730E" w14:paraId="586E2B7A" w14:textId="77777777" w:rsidTr="007B531E">
        <w:trPr>
          <w:trHeight w:hRule="exact" w:val="874"/>
        </w:trPr>
        <w:tc>
          <w:tcPr>
            <w:tcW w:w="5000" w:type="pct"/>
            <w:gridSpan w:val="2"/>
            <w:shd w:val="clear" w:color="auto" w:fill="FFDE15"/>
            <w:vAlign w:val="center"/>
          </w:tcPr>
          <w:p w14:paraId="70ED3DF1" w14:textId="77777777" w:rsidR="00B9730E" w:rsidRPr="00E6760B" w:rsidRDefault="00B9730E" w:rsidP="00432CEC">
            <w:pPr>
              <w:spacing w:before="8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052734">
              <w:rPr>
                <w:rFonts w:ascii="Arial" w:hAnsi="Arial" w:cs="Arial"/>
                <w:noProof/>
                <w:sz w:val="30"/>
                <w:szCs w:val="30"/>
                <w:lang w:val="en-US"/>
              </w:rPr>
              <w:t xml:space="preserve">use this machine unless </w:t>
            </w:r>
            <w:r w:rsidR="00F2654F">
              <w:rPr>
                <w:rFonts w:ascii="Arial" w:hAnsi="Arial" w:cs="Arial"/>
                <w:noProof/>
                <w:sz w:val="30"/>
                <w:szCs w:val="30"/>
                <w:lang w:val="en-US"/>
              </w:rPr>
              <w:t>the Supervisor</w:t>
            </w:r>
            <w:r w:rsidRPr="00052734">
              <w:rPr>
                <w:rFonts w:ascii="Arial" w:hAnsi="Arial" w:cs="Arial"/>
                <w:noProof/>
                <w:sz w:val="30"/>
                <w:szCs w:val="30"/>
                <w:lang w:val="en-US"/>
              </w:rPr>
              <w:t xml:space="preserve"> has instructed you in its safe use and operation and has given permission</w:t>
            </w:r>
          </w:p>
        </w:tc>
      </w:tr>
      <w:tr w:rsidR="00B9730E" w14:paraId="7189E713" w14:textId="77777777" w:rsidTr="007B531E">
        <w:trPr>
          <w:trHeight w:hRule="exact" w:val="170"/>
        </w:trPr>
        <w:tc>
          <w:tcPr>
            <w:tcW w:w="5000" w:type="pct"/>
            <w:gridSpan w:val="2"/>
            <w:vAlign w:val="center"/>
          </w:tcPr>
          <w:p w14:paraId="1586DAF0" w14:textId="77777777" w:rsidR="00B9730E" w:rsidRDefault="00B9730E" w:rsidP="00432CEC">
            <w:pPr>
              <w:rPr>
                <w:rFonts w:ascii="Arial" w:hAnsi="Arial" w:cs="Arial"/>
                <w:noProof/>
                <w:sz w:val="28"/>
                <w:lang w:val="en-US"/>
              </w:rPr>
            </w:pPr>
          </w:p>
        </w:tc>
      </w:tr>
      <w:tr w:rsidR="00B9730E" w14:paraId="64D3C6F9" w14:textId="77777777" w:rsidTr="007B531E">
        <w:trPr>
          <w:trHeight w:hRule="exact" w:val="822"/>
        </w:trPr>
        <w:tc>
          <w:tcPr>
            <w:tcW w:w="2485" w:type="pct"/>
            <w:vAlign w:val="center"/>
          </w:tcPr>
          <w:p w14:paraId="5272C574" w14:textId="77777777" w:rsidR="00B9730E" w:rsidRPr="004F12F1" w:rsidRDefault="00353506" w:rsidP="000368C7">
            <w:pPr>
              <w:spacing w:before="80"/>
              <w:rPr>
                <w:rFonts w:ascii="Arial" w:hAnsi="Arial" w:cs="Arial"/>
                <w:sz w:val="22"/>
                <w:szCs w:val="22"/>
              </w:rPr>
            </w:pPr>
            <w:r>
              <w:rPr>
                <w:rFonts w:ascii="Arial" w:hAnsi="Arial" w:cs="Arial"/>
                <w:bCs/>
                <w:noProof/>
                <w:sz w:val="22"/>
                <w:szCs w:val="22"/>
                <w:lang w:val="en-US"/>
              </w:rPr>
              <w:object w:dxaOrig="1440" w:dyaOrig="1440" w14:anchorId="70699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3" o:title=""/>
                  <w10:wrap type="tight" anchory="page"/>
                </v:shape>
                <o:OLEObject Type="Embed" ProgID="Word.Picture.8" ShapeID="_x0000_s1037" DrawAspect="Content" ObjectID="_1664101302" r:id="rId14"/>
              </w:object>
            </w:r>
            <w:r w:rsidR="000368C7">
              <w:rPr>
                <w:rFonts w:ascii="Arial" w:hAnsi="Arial" w:cs="Arial"/>
                <w:bCs/>
                <w:sz w:val="22"/>
                <w:szCs w:val="22"/>
              </w:rPr>
              <w:t>Approved s</w:t>
            </w:r>
            <w:r w:rsidR="00B9730E" w:rsidRPr="004F12F1">
              <w:rPr>
                <w:rFonts w:ascii="Arial" w:hAnsi="Arial" w:cs="Arial"/>
                <w:bCs/>
                <w:sz w:val="22"/>
                <w:szCs w:val="22"/>
              </w:rPr>
              <w:t>afety glasses</w:t>
            </w:r>
            <w:r w:rsidR="00B9730E" w:rsidRPr="004F12F1">
              <w:rPr>
                <w:rFonts w:ascii="Arial" w:hAnsi="Arial" w:cs="Arial"/>
                <w:sz w:val="22"/>
                <w:szCs w:val="22"/>
              </w:rPr>
              <w:t xml:space="preserve"> must be worn at </w:t>
            </w:r>
            <w:r w:rsidR="00B9730E" w:rsidRPr="004F12F1">
              <w:rPr>
                <w:rFonts w:ascii="Arial" w:hAnsi="Arial" w:cs="Arial"/>
                <w:bCs/>
                <w:sz w:val="22"/>
                <w:szCs w:val="22"/>
              </w:rPr>
              <w:t>all times in work areas.</w:t>
            </w:r>
          </w:p>
        </w:tc>
        <w:tc>
          <w:tcPr>
            <w:tcW w:w="2515" w:type="pct"/>
            <w:vAlign w:val="center"/>
          </w:tcPr>
          <w:p w14:paraId="180DCF3B" w14:textId="77777777" w:rsidR="00B9730E" w:rsidRPr="006A07E8" w:rsidRDefault="006A07E8" w:rsidP="006A07E8">
            <w:pPr>
              <w:spacing w:before="80"/>
              <w:rPr>
                <w:rFonts w:ascii="Arial" w:hAnsi="Arial" w:cs="Arial"/>
                <w:sz w:val="22"/>
                <w:szCs w:val="22"/>
              </w:rPr>
            </w:pPr>
            <w:r w:rsidRPr="00572A48">
              <w:rPr>
                <w:rFonts w:ascii="Arial" w:hAnsi="Arial" w:cs="Arial"/>
                <w:b/>
                <w:noProof/>
                <w:sz w:val="18"/>
                <w:lang w:eastAsia="zh-TW"/>
              </w:rPr>
              <w:drawing>
                <wp:anchor distT="0" distB="0" distL="114300" distR="114300" simplePos="0" relativeHeight="251677184" behindDoc="0" locked="0" layoutInCell="1" allowOverlap="1" wp14:anchorId="1DA59D9D" wp14:editId="759C617B">
                  <wp:simplePos x="0" y="0"/>
                  <wp:positionH relativeFrom="margin">
                    <wp:posOffset>3810</wp:posOffset>
                  </wp:positionH>
                  <wp:positionV relativeFrom="margin">
                    <wp:posOffset>-8255</wp:posOffset>
                  </wp:positionV>
                  <wp:extent cx="423545" cy="438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54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8C7" w:rsidRPr="004F12F1">
              <w:rPr>
                <w:rFonts w:ascii="Arial" w:hAnsi="Arial" w:cs="Arial"/>
                <w:b/>
                <w:noProof/>
                <w:sz w:val="22"/>
                <w:szCs w:val="22"/>
                <w:lang w:eastAsia="zh-TW"/>
              </w:rPr>
              <w:drawing>
                <wp:inline distT="0" distB="0" distL="0" distR="0" wp14:anchorId="0B549689" wp14:editId="471FBA25">
                  <wp:extent cx="8255" cy="8255"/>
                  <wp:effectExtent l="0" t="0" r="0" b="0"/>
                  <wp:docPr id="120" name="Picture 14"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hibi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0368C7" w:rsidRPr="004F12F1">
              <w:rPr>
                <w:rFonts w:ascii="Arial" w:hAnsi="Arial" w:cs="Arial"/>
                <w:noProof/>
                <w:sz w:val="22"/>
                <w:szCs w:val="22"/>
                <w:lang w:eastAsia="zh-TW"/>
              </w:rPr>
              <w:drawing>
                <wp:inline distT="0" distB="0" distL="0" distR="0" wp14:anchorId="2734F602" wp14:editId="35CE7907">
                  <wp:extent cx="8255" cy="8255"/>
                  <wp:effectExtent l="0" t="0" r="0" b="0"/>
                  <wp:docPr id="121" name="Picture 1"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Arial" w:hAnsi="Arial" w:cs="Arial"/>
                <w:bCs/>
                <w:sz w:val="22"/>
                <w:szCs w:val="22"/>
              </w:rPr>
              <w:t xml:space="preserve">A suitable P2 or P3 filter mask </w:t>
            </w:r>
            <w:r>
              <w:rPr>
                <w:rFonts w:ascii="Arial" w:hAnsi="Arial" w:cs="Arial"/>
                <w:bCs/>
                <w:i/>
                <w:sz w:val="22"/>
                <w:szCs w:val="22"/>
              </w:rPr>
              <w:t xml:space="preserve">must </w:t>
            </w:r>
            <w:r>
              <w:rPr>
                <w:rFonts w:ascii="Arial" w:hAnsi="Arial" w:cs="Arial"/>
                <w:bCs/>
                <w:sz w:val="22"/>
                <w:szCs w:val="22"/>
              </w:rPr>
              <w:t xml:space="preserve">be worn whenever potentially toxic smoke and fumes are created. </w:t>
            </w:r>
          </w:p>
        </w:tc>
      </w:tr>
      <w:tr w:rsidR="00B9730E" w14:paraId="3CCAE1B0" w14:textId="77777777" w:rsidTr="007B531E">
        <w:trPr>
          <w:trHeight w:hRule="exact" w:val="822"/>
        </w:trPr>
        <w:tc>
          <w:tcPr>
            <w:tcW w:w="2485" w:type="pct"/>
            <w:vAlign w:val="center"/>
          </w:tcPr>
          <w:p w14:paraId="2B8535AB" w14:textId="77777777" w:rsidR="00B9730E" w:rsidRPr="004F12F1" w:rsidRDefault="004D5F4F" w:rsidP="00FB1A06">
            <w:pPr>
              <w:spacing w:before="120"/>
              <w:rPr>
                <w:rFonts w:ascii="Arial" w:hAnsi="Arial" w:cs="Arial"/>
                <w:sz w:val="22"/>
                <w:szCs w:val="22"/>
              </w:rPr>
            </w:pPr>
            <w:r w:rsidRPr="004F12F1">
              <w:rPr>
                <w:rFonts w:ascii="Arial" w:hAnsi="Arial" w:cs="Arial"/>
                <w:noProof/>
                <w:sz w:val="22"/>
                <w:szCs w:val="22"/>
                <w:lang w:eastAsia="zh-TW"/>
              </w:rPr>
              <w:drawing>
                <wp:anchor distT="0" distB="0" distL="114300" distR="114300" simplePos="0" relativeHeight="251657728" behindDoc="0" locked="0" layoutInCell="1" allowOverlap="0" wp14:anchorId="4D05D443" wp14:editId="73ACFC8E">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4F12F1">
              <w:rPr>
                <w:rFonts w:ascii="Arial" w:hAnsi="Arial" w:cs="Arial"/>
                <w:sz w:val="22"/>
                <w:szCs w:val="22"/>
              </w:rPr>
              <w:t xml:space="preserve">Appropriate </w:t>
            </w:r>
            <w:r w:rsidR="00FB1A06" w:rsidRPr="004F12F1">
              <w:rPr>
                <w:rFonts w:ascii="Arial" w:hAnsi="Arial" w:cs="Arial"/>
                <w:sz w:val="22"/>
                <w:szCs w:val="22"/>
              </w:rPr>
              <w:t>protective footwear</w:t>
            </w:r>
            <w:r w:rsidR="00B9730E" w:rsidRPr="004F12F1">
              <w:rPr>
                <w:rFonts w:ascii="Arial" w:hAnsi="Arial" w:cs="Arial"/>
                <w:sz w:val="22"/>
                <w:szCs w:val="22"/>
              </w:rPr>
              <w:t xml:space="preserve"> </w:t>
            </w:r>
            <w:r w:rsidR="0063137C">
              <w:rPr>
                <w:rFonts w:ascii="Arial" w:hAnsi="Arial" w:cs="Arial"/>
                <w:sz w:val="22"/>
                <w:szCs w:val="22"/>
              </w:rPr>
              <w:t xml:space="preserve">with substantial uppers </w:t>
            </w:r>
            <w:r w:rsidR="00B9730E" w:rsidRPr="004F12F1">
              <w:rPr>
                <w:rFonts w:ascii="Arial" w:hAnsi="Arial" w:cs="Arial"/>
                <w:sz w:val="22"/>
                <w:szCs w:val="22"/>
              </w:rPr>
              <w:t>must be worn.</w:t>
            </w:r>
          </w:p>
        </w:tc>
        <w:tc>
          <w:tcPr>
            <w:tcW w:w="2515" w:type="pct"/>
            <w:vAlign w:val="center"/>
          </w:tcPr>
          <w:p w14:paraId="3068BA96" w14:textId="77777777" w:rsidR="00B9730E" w:rsidRPr="004F12F1" w:rsidRDefault="0065180D" w:rsidP="006A07E8">
            <w:pPr>
              <w:spacing w:before="80"/>
              <w:rPr>
                <w:rFonts w:ascii="Arial" w:hAnsi="Arial" w:cs="Arial"/>
                <w:sz w:val="22"/>
                <w:szCs w:val="22"/>
              </w:rPr>
            </w:pPr>
            <w:r w:rsidRPr="00572A48">
              <w:rPr>
                <w:rFonts w:ascii="Arial" w:hAnsi="Arial" w:cs="Arial"/>
                <w:b/>
                <w:noProof/>
                <w:sz w:val="18"/>
                <w:lang w:eastAsia="zh-TW"/>
              </w:rPr>
              <w:drawing>
                <wp:anchor distT="0" distB="0" distL="114300" distR="114300" simplePos="0" relativeHeight="251674112" behindDoc="0" locked="0" layoutInCell="1" allowOverlap="1" wp14:anchorId="4E61DB35" wp14:editId="1B235167">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006A07E8">
              <w:rPr>
                <w:rFonts w:ascii="Arial" w:hAnsi="Arial" w:cs="Arial"/>
                <w:sz w:val="22"/>
                <w:szCs w:val="22"/>
              </w:rPr>
              <w:t xml:space="preserve">A suitable protective workshop apron and  gloves are advisable. </w:t>
            </w:r>
            <w:r>
              <w:rPr>
                <w:rFonts w:ascii="Arial" w:hAnsi="Arial" w:cs="Arial"/>
                <w:sz w:val="22"/>
                <w:szCs w:val="22"/>
              </w:rPr>
              <w:t xml:space="preserve"> </w:t>
            </w:r>
          </w:p>
        </w:tc>
      </w:tr>
    </w:tbl>
    <w:p w14:paraId="4E40E492" w14:textId="4B3D15E4" w:rsidR="009B10CB" w:rsidRDefault="009B10CB" w:rsidP="00666EA3">
      <w:pPr>
        <w:pStyle w:val="Heading3"/>
        <w:shd w:val="clear" w:color="auto" w:fill="FFCC00"/>
        <w:ind w:left="-180" w:right="-236" w:firstLine="180"/>
        <w:rPr>
          <w:rFonts w:ascii="Arial" w:hAnsi="Arial" w:cs="Arial"/>
          <w:sz w:val="8"/>
        </w:rPr>
      </w:pPr>
    </w:p>
    <w:p w14:paraId="2A8D8165" w14:textId="746B5339" w:rsidR="009B10CB" w:rsidRPr="000F129C" w:rsidRDefault="007A5B67" w:rsidP="004F12F1">
      <w:pPr>
        <w:pStyle w:val="Heading3"/>
        <w:shd w:val="clear" w:color="auto" w:fill="FFCC00"/>
        <w:ind w:left="-180" w:right="-236" w:firstLine="180"/>
        <w:jc w:val="center"/>
        <w:rPr>
          <w:rFonts w:ascii="Arial" w:hAnsi="Arial" w:cs="Arial"/>
          <w:b/>
          <w:sz w:val="22"/>
          <w:szCs w:val="22"/>
        </w:rPr>
      </w:pPr>
      <w:r w:rsidRPr="000F129C">
        <w:rPr>
          <w:rFonts w:ascii="Arial" w:hAnsi="Arial" w:cs="Arial"/>
          <w:b/>
          <w:sz w:val="22"/>
          <w:szCs w:val="22"/>
        </w:rPr>
        <w:t xml:space="preserve">CAUTION: </w:t>
      </w:r>
      <w:r w:rsidR="000F129C" w:rsidRPr="000F129C">
        <w:rPr>
          <w:rFonts w:ascii="Arial" w:hAnsi="Arial" w:cs="Arial"/>
          <w:b/>
          <w:sz w:val="22"/>
          <w:szCs w:val="22"/>
        </w:rPr>
        <w:t>Heat guns produce an invisible jet of hot air (500C) which is capable of serious burns</w:t>
      </w:r>
    </w:p>
    <w:p w14:paraId="11A9B6B1" w14:textId="77777777" w:rsidR="009B10CB" w:rsidRDefault="009B10CB" w:rsidP="00666EA3">
      <w:pPr>
        <w:pStyle w:val="Heading3"/>
        <w:shd w:val="clear" w:color="auto" w:fill="FFCC00"/>
        <w:ind w:left="-180" w:right="-236" w:firstLine="180"/>
        <w:rPr>
          <w:rFonts w:ascii="Arial" w:hAnsi="Arial"/>
          <w:bCs/>
          <w:color w:val="000080"/>
          <w:sz w:val="8"/>
        </w:rPr>
      </w:pPr>
    </w:p>
    <w:p w14:paraId="36D26437"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405B697F" w14:textId="77777777" w:rsidR="009B10CB" w:rsidRPr="004F12F1" w:rsidRDefault="009B10CB" w:rsidP="000D5C6C">
      <w:pPr>
        <w:pStyle w:val="Heading3"/>
        <w:pBdr>
          <w:top w:val="single" w:sz="8" w:space="1" w:color="990033"/>
          <w:left w:val="single" w:sz="8" w:space="4" w:color="990033"/>
          <w:bottom w:val="single" w:sz="8" w:space="1" w:color="990033"/>
          <w:right w:val="single" w:sz="8" w:space="4" w:color="990033"/>
        </w:pBdr>
        <w:spacing w:before="40"/>
        <w:rPr>
          <w:rFonts w:ascii="Arial" w:hAnsi="Arial"/>
          <w:b/>
          <w:color w:val="990033"/>
          <w:sz w:val="26"/>
          <w:szCs w:val="26"/>
        </w:rPr>
      </w:pPr>
      <w:r w:rsidRPr="004F12F1">
        <w:rPr>
          <w:rFonts w:ascii="Arial" w:hAnsi="Arial"/>
          <w:b/>
          <w:color w:val="990033"/>
          <w:sz w:val="26"/>
          <w:szCs w:val="26"/>
        </w:rPr>
        <w:t>PRE-OPERATIONAL SAFETY CHECKS</w:t>
      </w:r>
    </w:p>
    <w:p w14:paraId="0DEB0CF9" w14:textId="77777777" w:rsidR="006A07E8" w:rsidRDefault="006A07E8"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Examine the power lead and </w:t>
      </w:r>
      <w:r w:rsidR="007A5B67">
        <w:rPr>
          <w:rFonts w:ascii="Arial" w:hAnsi="Arial"/>
          <w:b/>
          <w:sz w:val="22"/>
          <w:szCs w:val="22"/>
        </w:rPr>
        <w:t xml:space="preserve">tool for obvious damage. </w:t>
      </w:r>
    </w:p>
    <w:p w14:paraId="0D5D6C26" w14:textId="5BC8BB8C"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Check there is </w:t>
      </w:r>
      <w:r w:rsidR="000F129C">
        <w:rPr>
          <w:rFonts w:ascii="Arial" w:hAnsi="Arial"/>
          <w:b/>
          <w:sz w:val="22"/>
          <w:szCs w:val="22"/>
        </w:rPr>
        <w:t>no flammable material within 2 metres of the work area.</w:t>
      </w:r>
    </w:p>
    <w:p w14:paraId="540AB06A" w14:textId="77777777"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Ensure that the cord does not create a slip/trip hazard.</w:t>
      </w:r>
    </w:p>
    <w:p w14:paraId="391EBEB4" w14:textId="77777777"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Ensure the workspace is well ventilated. </w:t>
      </w:r>
    </w:p>
    <w:p w14:paraId="6B86E451" w14:textId="3D6AC615"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Never leave the tool unattended when turned on or still hot. Leave unplugged when not in use. </w:t>
      </w:r>
    </w:p>
    <w:p w14:paraId="443DDE68" w14:textId="19893528" w:rsidR="004630F6" w:rsidRPr="0063137C" w:rsidRDefault="004630F6"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sidRPr="004630F6">
        <w:rPr>
          <w:rFonts w:ascii="Arial" w:hAnsi="Arial"/>
          <w:b/>
          <w:sz w:val="22"/>
          <w:szCs w:val="22"/>
        </w:rPr>
        <w:t>After use, stand the heat gun upright, making sure nothing can contact the hot metal nozzle</w:t>
      </w:r>
      <w:r>
        <w:rPr>
          <w:rFonts w:ascii="Arial" w:hAnsi="Arial"/>
          <w:b/>
          <w:sz w:val="22"/>
          <w:szCs w:val="22"/>
        </w:rPr>
        <w:t>.</w:t>
      </w:r>
    </w:p>
    <w:p w14:paraId="30F1EAF7"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10"/>
          <w:szCs w:val="10"/>
        </w:rPr>
      </w:pPr>
      <w:r w:rsidRPr="00A77C63">
        <w:rPr>
          <w:rFonts w:ascii="Arial" w:hAnsi="Arial"/>
          <w:b/>
          <w:sz w:val="10"/>
          <w:szCs w:val="10"/>
        </w:rPr>
        <w:t xml:space="preserve"> </w:t>
      </w:r>
    </w:p>
    <w:p w14:paraId="4BCFE32A" w14:textId="77777777" w:rsidR="009B10CB" w:rsidRPr="003E3FB2" w:rsidRDefault="009B10CB">
      <w:pPr>
        <w:pStyle w:val="Header"/>
        <w:tabs>
          <w:tab w:val="clear" w:pos="4153"/>
          <w:tab w:val="clear" w:pos="8306"/>
        </w:tabs>
        <w:rPr>
          <w:sz w:val="12"/>
          <w:szCs w:val="12"/>
        </w:rPr>
      </w:pPr>
    </w:p>
    <w:p w14:paraId="014AAF82" w14:textId="77777777" w:rsidR="009B10CB" w:rsidRPr="004F12F1" w:rsidRDefault="009B10CB" w:rsidP="000D5C6C">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6"/>
          <w:szCs w:val="26"/>
        </w:rPr>
      </w:pPr>
      <w:r w:rsidRPr="004F12F1">
        <w:rPr>
          <w:rFonts w:cs="Times New Roman"/>
          <w:color w:val="990033"/>
          <w:sz w:val="26"/>
          <w:szCs w:val="26"/>
        </w:rPr>
        <w:t>OPERATIONAL SAFETY CHECKS</w:t>
      </w:r>
    </w:p>
    <w:p w14:paraId="293BBB43" w14:textId="060CFF31" w:rsidR="0065180D" w:rsidRPr="000F129C" w:rsidRDefault="000F129C" w:rsidP="000F129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sidRPr="000F129C">
        <w:rPr>
          <w:rFonts w:ascii="Arial" w:hAnsi="Arial"/>
          <w:b/>
          <w:sz w:val="22"/>
          <w:szCs w:val="22"/>
        </w:rPr>
        <w:t>Pay</w:t>
      </w:r>
      <w:r>
        <w:rPr>
          <w:rFonts w:ascii="Arial" w:hAnsi="Arial"/>
          <w:b/>
          <w:sz w:val="22"/>
          <w:szCs w:val="22"/>
        </w:rPr>
        <w:t xml:space="preserve"> </w:t>
      </w:r>
      <w:r w:rsidRPr="000F129C">
        <w:rPr>
          <w:rFonts w:ascii="Arial" w:hAnsi="Arial"/>
          <w:b/>
          <w:sz w:val="22"/>
          <w:szCs w:val="22"/>
        </w:rPr>
        <w:t xml:space="preserve">careful attention to surroundings to avoid burning people or damaging equipment within range. </w:t>
      </w:r>
      <w:r w:rsidR="007A5B67" w:rsidRPr="000F129C">
        <w:rPr>
          <w:rFonts w:ascii="Arial" w:hAnsi="Arial"/>
          <w:b/>
          <w:sz w:val="22"/>
          <w:szCs w:val="22"/>
        </w:rPr>
        <w:t xml:space="preserve"> </w:t>
      </w:r>
    </w:p>
    <w:p w14:paraId="1F25E633" w14:textId="0AAADE5B" w:rsidR="000F129C" w:rsidRPr="000F129C" w:rsidRDefault="000F129C" w:rsidP="000F129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sidRPr="000F129C">
        <w:rPr>
          <w:rFonts w:ascii="Arial" w:hAnsi="Arial"/>
          <w:b/>
          <w:sz w:val="22"/>
          <w:szCs w:val="22"/>
        </w:rPr>
        <w:t>Heat guns can start fires if flammable vapours come into direct contact with the element.</w:t>
      </w:r>
    </w:p>
    <w:p w14:paraId="738BB32F" w14:textId="00FA59A4" w:rsidR="007A5B67" w:rsidRDefault="000F129C" w:rsidP="000F129C">
      <w:pPr>
        <w:pBdr>
          <w:top w:val="single" w:sz="8" w:space="1" w:color="990033"/>
          <w:left w:val="single" w:sz="8" w:space="4" w:color="990033"/>
          <w:bottom w:val="single" w:sz="8" w:space="1" w:color="990033"/>
          <w:right w:val="single" w:sz="8" w:space="4" w:color="990033"/>
        </w:pBdr>
        <w:spacing w:before="40"/>
        <w:ind w:firstLine="360"/>
        <w:rPr>
          <w:rFonts w:ascii="Arial" w:hAnsi="Arial"/>
          <w:b/>
          <w:sz w:val="22"/>
          <w:szCs w:val="22"/>
        </w:rPr>
      </w:pPr>
      <w:r w:rsidRPr="000F129C">
        <w:rPr>
          <w:rFonts w:ascii="Arial" w:hAnsi="Arial"/>
          <w:b/>
          <w:sz w:val="22"/>
          <w:szCs w:val="22"/>
        </w:rPr>
        <w:t>Keep volatile highly flammable materials well clear.</w:t>
      </w:r>
      <w:r>
        <w:rPr>
          <w:rFonts w:ascii="Arial" w:hAnsi="Arial"/>
          <w:b/>
          <w:sz w:val="22"/>
          <w:szCs w:val="22"/>
        </w:rPr>
        <w:t xml:space="preserve"> (2 metres)</w:t>
      </w:r>
    </w:p>
    <w:p w14:paraId="5166001B"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Always wear safety glasses and gloves that are resistant to hot temperatures to protect against burns. </w:t>
      </w:r>
    </w:p>
    <w:p w14:paraId="7041B921" w14:textId="598B4306" w:rsidR="000F129C" w:rsidRPr="000F129C" w:rsidRDefault="000F129C" w:rsidP="000F129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sidRPr="000F129C">
        <w:rPr>
          <w:rFonts w:ascii="Arial" w:hAnsi="Arial"/>
          <w:b/>
          <w:sz w:val="22"/>
          <w:szCs w:val="22"/>
        </w:rPr>
        <w:t>Heat guns can start fires if flammable material is heated directly and intensively. Use indirect</w:t>
      </w:r>
    </w:p>
    <w:p w14:paraId="511EEEF0" w14:textId="1CC56B83" w:rsidR="007A5B67" w:rsidRDefault="000F129C" w:rsidP="000F129C">
      <w:pPr>
        <w:numPr>
          <w:ilvl w:val="0"/>
          <w:numId w:val="2"/>
        </w:numPr>
        <w:pBdr>
          <w:top w:val="single" w:sz="8" w:space="1" w:color="990033"/>
          <w:left w:val="single" w:sz="8" w:space="4" w:color="990033"/>
          <w:bottom w:val="single" w:sz="8" w:space="1" w:color="990033"/>
          <w:right w:val="single" w:sz="8" w:space="4" w:color="990033"/>
        </w:pBdr>
        <w:spacing w:before="40"/>
        <w:rPr>
          <w:rFonts w:ascii="Arial" w:hAnsi="Arial"/>
          <w:b/>
          <w:sz w:val="22"/>
          <w:szCs w:val="22"/>
        </w:rPr>
      </w:pPr>
      <w:r w:rsidRPr="000F129C">
        <w:rPr>
          <w:rFonts w:ascii="Arial" w:hAnsi="Arial"/>
          <w:b/>
          <w:sz w:val="22"/>
          <w:szCs w:val="22"/>
        </w:rPr>
        <w:t>heating wherever possible</w:t>
      </w:r>
      <w:r>
        <w:rPr>
          <w:rFonts w:ascii="Arial" w:hAnsi="Arial"/>
          <w:b/>
          <w:sz w:val="22"/>
          <w:szCs w:val="22"/>
        </w:rPr>
        <w:t>.</w:t>
      </w:r>
      <w:r w:rsidR="007A5B67">
        <w:rPr>
          <w:rFonts w:ascii="Arial" w:hAnsi="Arial"/>
          <w:b/>
          <w:sz w:val="22"/>
          <w:szCs w:val="22"/>
        </w:rPr>
        <w:t xml:space="preserve"> </w:t>
      </w:r>
    </w:p>
    <w:p w14:paraId="2AC152F1" w14:textId="55AFD086" w:rsidR="007A5B67" w:rsidRDefault="004630F6"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sidRPr="004630F6">
        <w:rPr>
          <w:rFonts w:ascii="Arial" w:hAnsi="Arial"/>
          <w:b/>
          <w:sz w:val="22"/>
          <w:szCs w:val="22"/>
        </w:rPr>
        <w:t>Do not heat a sealed vessel as may result in a catastrophic failure.</w:t>
      </w:r>
    </w:p>
    <w:p w14:paraId="37FA40FC" w14:textId="12400775" w:rsidR="007A5B67" w:rsidRPr="004630F6" w:rsidRDefault="007A5B67" w:rsidP="004630F6">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Avoid prolonged use. This could overheat the </w:t>
      </w:r>
      <w:r w:rsidR="004630F6">
        <w:rPr>
          <w:rFonts w:ascii="Arial" w:hAnsi="Arial"/>
          <w:b/>
          <w:sz w:val="22"/>
          <w:szCs w:val="22"/>
        </w:rPr>
        <w:t>nozzle</w:t>
      </w:r>
      <w:r>
        <w:rPr>
          <w:rFonts w:ascii="Arial" w:hAnsi="Arial"/>
          <w:b/>
          <w:sz w:val="22"/>
          <w:szCs w:val="22"/>
        </w:rPr>
        <w:t>, causing it to fail</w:t>
      </w:r>
      <w:r w:rsidR="004630F6">
        <w:rPr>
          <w:rFonts w:ascii="Arial" w:hAnsi="Arial"/>
          <w:b/>
          <w:sz w:val="22"/>
          <w:szCs w:val="22"/>
        </w:rPr>
        <w:t>.</w:t>
      </w:r>
      <w:r>
        <w:rPr>
          <w:rFonts w:ascii="Arial" w:hAnsi="Arial"/>
          <w:b/>
          <w:sz w:val="22"/>
          <w:szCs w:val="22"/>
        </w:rPr>
        <w:t xml:space="preserve"> </w:t>
      </w:r>
    </w:p>
    <w:p w14:paraId="169BE6FB" w14:textId="62A5B960"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Never leave the </w:t>
      </w:r>
      <w:r w:rsidR="004630F6">
        <w:rPr>
          <w:rFonts w:ascii="Arial" w:hAnsi="Arial"/>
          <w:b/>
          <w:sz w:val="22"/>
          <w:szCs w:val="22"/>
        </w:rPr>
        <w:t>heat</w:t>
      </w:r>
      <w:r>
        <w:rPr>
          <w:rFonts w:ascii="Arial" w:hAnsi="Arial"/>
          <w:b/>
          <w:sz w:val="22"/>
          <w:szCs w:val="22"/>
        </w:rPr>
        <w:t xml:space="preserve"> gun unattended when still switched ON or when switched OFF but still HOT.</w:t>
      </w:r>
    </w:p>
    <w:p w14:paraId="75F8E014" w14:textId="07E90DA3" w:rsidR="007A5B67" w:rsidRPr="003E694A"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Turn off and wait until the</w:t>
      </w:r>
      <w:r w:rsidR="004630F6">
        <w:rPr>
          <w:rFonts w:ascii="Arial" w:hAnsi="Arial"/>
          <w:b/>
          <w:sz w:val="22"/>
          <w:szCs w:val="22"/>
        </w:rPr>
        <w:t xml:space="preserve"> nozzle</w:t>
      </w:r>
      <w:r>
        <w:rPr>
          <w:rFonts w:ascii="Arial" w:hAnsi="Arial"/>
          <w:b/>
          <w:sz w:val="22"/>
          <w:szCs w:val="22"/>
        </w:rPr>
        <w:t xml:space="preserve"> has completely cooled before storing the glue gun away correctly. </w:t>
      </w:r>
    </w:p>
    <w:p w14:paraId="67B9689B"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8"/>
          <w:szCs w:val="8"/>
        </w:rPr>
      </w:pPr>
      <w:r w:rsidRPr="00A77C63">
        <w:rPr>
          <w:rFonts w:ascii="Arial" w:hAnsi="Arial"/>
          <w:b/>
          <w:sz w:val="8"/>
          <w:szCs w:val="8"/>
        </w:rPr>
        <w:t xml:space="preserve"> </w:t>
      </w:r>
    </w:p>
    <w:p w14:paraId="4EEF0090" w14:textId="77777777" w:rsidR="009B10CB" w:rsidRPr="003E3FB2" w:rsidRDefault="009B10CB">
      <w:pPr>
        <w:rPr>
          <w:sz w:val="12"/>
          <w:szCs w:val="12"/>
        </w:rPr>
      </w:pPr>
    </w:p>
    <w:p w14:paraId="41F570A0" w14:textId="77777777" w:rsidR="009B10CB" w:rsidRPr="004F12F1"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6"/>
          <w:szCs w:val="26"/>
        </w:rPr>
      </w:pPr>
      <w:r w:rsidRPr="004F12F1">
        <w:rPr>
          <w:rFonts w:cs="Times New Roman"/>
          <w:color w:val="990033"/>
          <w:sz w:val="26"/>
          <w:szCs w:val="26"/>
        </w:rPr>
        <w:t>HOUSEKEEPING</w:t>
      </w:r>
    </w:p>
    <w:p w14:paraId="7FEE7B92" w14:textId="77777777" w:rsidR="003E694A" w:rsidRDefault="003E694A"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Switch off, unplug and allow to cool down before storing. </w:t>
      </w:r>
    </w:p>
    <w:p w14:paraId="7B077AE2" w14:textId="77777777" w:rsidR="0065180D" w:rsidRPr="004F12F1" w:rsidRDefault="003E694A"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Leave the work area in a safe, clean and tidy condition. </w:t>
      </w:r>
      <w:r w:rsidR="0065180D">
        <w:rPr>
          <w:rFonts w:ascii="Arial" w:hAnsi="Arial"/>
          <w:b/>
          <w:sz w:val="22"/>
          <w:szCs w:val="22"/>
        </w:rPr>
        <w:t xml:space="preserve"> </w:t>
      </w:r>
    </w:p>
    <w:p w14:paraId="69023133"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14267089" w14:textId="77777777" w:rsidR="009B10CB" w:rsidRPr="003E3FB2" w:rsidRDefault="009B10CB">
      <w:pPr>
        <w:pStyle w:val="Header"/>
        <w:rPr>
          <w:sz w:val="12"/>
          <w:szCs w:val="12"/>
        </w:rPr>
      </w:pPr>
    </w:p>
    <w:p w14:paraId="21B7E6AD" w14:textId="77777777" w:rsidR="009B10CB" w:rsidRPr="004F12F1"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6"/>
          <w:szCs w:val="26"/>
        </w:rPr>
      </w:pPr>
      <w:r w:rsidRPr="004F12F1">
        <w:rPr>
          <w:rFonts w:cs="Times New Roman"/>
          <w:color w:val="990033"/>
          <w:sz w:val="26"/>
          <w:szCs w:val="26"/>
        </w:rPr>
        <w:t xml:space="preserve">POTENTIAL HAZARDS  </w:t>
      </w:r>
    </w:p>
    <w:p w14:paraId="27194973" w14:textId="3186F410" w:rsidR="003E694A" w:rsidRDefault="003E694A" w:rsidP="00DF1D84">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2"/>
          <w:szCs w:val="22"/>
        </w:rPr>
      </w:pPr>
      <w:r>
        <w:rPr>
          <w:rFonts w:ascii="Arial" w:hAnsi="Arial"/>
          <w:b/>
          <w:sz w:val="22"/>
          <w:szCs w:val="22"/>
        </w:rPr>
        <w:t>H</w:t>
      </w:r>
      <w:r w:rsidR="004630F6">
        <w:rPr>
          <w:rFonts w:ascii="Arial" w:hAnsi="Arial"/>
          <w:b/>
          <w:sz w:val="22"/>
          <w:szCs w:val="22"/>
        </w:rPr>
        <w:t>eat</w:t>
      </w:r>
      <w:r>
        <w:rPr>
          <w:rFonts w:ascii="Arial" w:hAnsi="Arial"/>
          <w:b/>
          <w:sz w:val="22"/>
          <w:szCs w:val="22"/>
        </w:rPr>
        <w:t xml:space="preserve"> </w:t>
      </w:r>
      <w:r w:rsidR="000F129C">
        <w:rPr>
          <w:rFonts w:ascii="Arial" w:hAnsi="Arial"/>
          <w:b/>
          <w:sz w:val="22"/>
          <w:szCs w:val="22"/>
        </w:rPr>
        <w:t xml:space="preserve">gun nozzle and </w:t>
      </w:r>
      <w:r w:rsidR="004630F6">
        <w:rPr>
          <w:rFonts w:ascii="Arial" w:hAnsi="Arial"/>
          <w:b/>
          <w:sz w:val="22"/>
          <w:szCs w:val="22"/>
        </w:rPr>
        <w:t>hot s</w:t>
      </w:r>
      <w:r w:rsidR="000F129C">
        <w:rPr>
          <w:rFonts w:ascii="Arial" w:hAnsi="Arial"/>
          <w:b/>
          <w:sz w:val="22"/>
          <w:szCs w:val="22"/>
        </w:rPr>
        <w:t xml:space="preserve">urfaces          </w:t>
      </w:r>
      <w:r w:rsidR="009B10CB" w:rsidRPr="004F12F1">
        <w:rPr>
          <w:rFonts w:ascii="Arial" w:hAnsi="Arial"/>
          <w:b/>
          <w:sz w:val="22"/>
          <w:szCs w:val="22"/>
        </w:rPr>
        <w:t xml:space="preserve"> </w:t>
      </w:r>
      <w:r w:rsidR="00BD2016" w:rsidRPr="004F12F1">
        <w:rPr>
          <w:rFonts w:ascii="Arial" w:hAnsi="Arial"/>
          <w:b/>
          <w:sz w:val="22"/>
          <w:szCs w:val="22"/>
        </w:rPr>
        <w:t xml:space="preserve"> </w:t>
      </w:r>
      <w:r w:rsidR="009B10CB" w:rsidRPr="004F12F1">
        <w:rPr>
          <w:rFonts w:ascii="Arial" w:hAnsi="Arial"/>
          <w:b/>
          <w:sz w:val="22"/>
          <w:szCs w:val="22"/>
        </w:rPr>
        <w:sym w:font="Wingdings" w:char="F06E"/>
      </w:r>
      <w:r w:rsidR="00BD2016" w:rsidRPr="004F12F1">
        <w:rPr>
          <w:rFonts w:ascii="Arial" w:hAnsi="Arial"/>
          <w:b/>
          <w:sz w:val="22"/>
          <w:szCs w:val="22"/>
        </w:rPr>
        <w:t xml:space="preserve">  </w:t>
      </w:r>
      <w:r>
        <w:rPr>
          <w:rFonts w:ascii="Arial" w:hAnsi="Arial"/>
          <w:b/>
          <w:sz w:val="22"/>
          <w:szCs w:val="22"/>
        </w:rPr>
        <w:t>Burns</w:t>
      </w:r>
      <w:r w:rsidR="000368C7">
        <w:rPr>
          <w:rFonts w:ascii="Arial" w:hAnsi="Arial"/>
          <w:b/>
          <w:sz w:val="22"/>
          <w:szCs w:val="22"/>
        </w:rPr>
        <w:tab/>
      </w:r>
      <w:r w:rsidR="0063137C">
        <w:rPr>
          <w:rFonts w:ascii="Arial" w:hAnsi="Arial"/>
          <w:b/>
          <w:sz w:val="22"/>
          <w:szCs w:val="22"/>
        </w:rPr>
        <w:t xml:space="preserve">     </w:t>
      </w:r>
      <w:r>
        <w:rPr>
          <w:rFonts w:ascii="Arial" w:hAnsi="Arial"/>
          <w:b/>
          <w:sz w:val="22"/>
          <w:szCs w:val="22"/>
        </w:rPr>
        <w:t xml:space="preserve">  </w:t>
      </w:r>
      <w:r w:rsidR="007A5B67">
        <w:rPr>
          <w:rFonts w:ascii="Arial" w:hAnsi="Arial"/>
          <w:b/>
          <w:sz w:val="22"/>
          <w:szCs w:val="22"/>
        </w:rPr>
        <w:t xml:space="preserve">   </w:t>
      </w:r>
      <w:r>
        <w:rPr>
          <w:rFonts w:ascii="Arial" w:hAnsi="Arial"/>
          <w:b/>
          <w:sz w:val="22"/>
          <w:szCs w:val="22"/>
        </w:rPr>
        <w:t xml:space="preserve">       </w:t>
      </w:r>
      <w:r w:rsidR="00DF1D84">
        <w:rPr>
          <w:rFonts w:ascii="Arial" w:hAnsi="Arial"/>
          <w:b/>
          <w:sz w:val="22"/>
          <w:szCs w:val="22"/>
        </w:rPr>
        <w:t xml:space="preserve">              </w:t>
      </w:r>
      <w:r>
        <w:rPr>
          <w:rFonts w:ascii="Arial" w:hAnsi="Arial"/>
          <w:b/>
          <w:sz w:val="22"/>
          <w:szCs w:val="22"/>
        </w:rPr>
        <w:t xml:space="preserve">     </w:t>
      </w:r>
      <w:r w:rsidRPr="004F12F1">
        <w:rPr>
          <w:rFonts w:ascii="Arial" w:hAnsi="Arial"/>
          <w:b/>
          <w:sz w:val="22"/>
          <w:szCs w:val="22"/>
        </w:rPr>
        <w:sym w:font="Wingdings" w:char="F06E"/>
      </w:r>
      <w:r w:rsidRPr="004F12F1">
        <w:rPr>
          <w:rFonts w:ascii="Arial" w:hAnsi="Arial"/>
          <w:b/>
          <w:sz w:val="22"/>
          <w:szCs w:val="22"/>
        </w:rPr>
        <w:t xml:space="preserve">  </w:t>
      </w:r>
      <w:r>
        <w:rPr>
          <w:rFonts w:ascii="Arial" w:hAnsi="Arial"/>
          <w:b/>
          <w:sz w:val="22"/>
          <w:szCs w:val="22"/>
        </w:rPr>
        <w:t>Fire</w:t>
      </w:r>
      <w:r>
        <w:rPr>
          <w:rFonts w:ascii="Arial" w:hAnsi="Arial"/>
          <w:b/>
          <w:sz w:val="22"/>
          <w:szCs w:val="22"/>
        </w:rPr>
        <w:tab/>
        <w:t xml:space="preserve">              </w:t>
      </w:r>
      <w:r w:rsidRPr="004F12F1">
        <w:rPr>
          <w:rFonts w:ascii="Arial" w:hAnsi="Arial"/>
          <w:b/>
          <w:sz w:val="22"/>
          <w:szCs w:val="22"/>
        </w:rPr>
        <w:t xml:space="preserve">      </w:t>
      </w:r>
      <w:r w:rsidR="0063137C">
        <w:rPr>
          <w:rFonts w:ascii="Arial" w:hAnsi="Arial"/>
          <w:b/>
          <w:sz w:val="22"/>
          <w:szCs w:val="22"/>
        </w:rPr>
        <w:t xml:space="preserve">         </w:t>
      </w:r>
      <w:r w:rsidR="009B10CB" w:rsidRPr="004F12F1">
        <w:rPr>
          <w:rFonts w:ascii="Arial" w:hAnsi="Arial"/>
          <w:b/>
          <w:sz w:val="22"/>
          <w:szCs w:val="22"/>
        </w:rPr>
        <w:t xml:space="preserve"> </w:t>
      </w:r>
      <w:r w:rsidR="00BD2016" w:rsidRPr="004F12F1">
        <w:rPr>
          <w:rFonts w:ascii="Arial" w:hAnsi="Arial"/>
          <w:b/>
          <w:sz w:val="22"/>
          <w:szCs w:val="22"/>
        </w:rPr>
        <w:t xml:space="preserve">     </w:t>
      </w:r>
    </w:p>
    <w:p w14:paraId="10238903" w14:textId="77777777" w:rsidR="0065180D" w:rsidRPr="00DF1D84" w:rsidRDefault="003E694A" w:rsidP="00287B39">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2"/>
          <w:szCs w:val="22"/>
        </w:rPr>
      </w:pPr>
      <w:r w:rsidRPr="00DF1D84">
        <w:rPr>
          <w:rFonts w:ascii="Arial" w:hAnsi="Arial"/>
          <w:b/>
          <w:sz w:val="22"/>
          <w:szCs w:val="22"/>
        </w:rPr>
        <w:t xml:space="preserve">Electricity                                                    </w:t>
      </w:r>
      <w:r w:rsidR="004F12F1" w:rsidRPr="004F12F1">
        <w:rPr>
          <w:rFonts w:ascii="Arial" w:hAnsi="Arial"/>
          <w:b/>
          <w:sz w:val="22"/>
          <w:szCs w:val="22"/>
        </w:rPr>
        <w:sym w:font="Wingdings" w:char="F06E"/>
      </w:r>
      <w:r w:rsidR="004F12F1" w:rsidRPr="00DF1D84">
        <w:rPr>
          <w:rFonts w:ascii="Arial" w:hAnsi="Arial"/>
          <w:b/>
          <w:sz w:val="22"/>
          <w:szCs w:val="22"/>
        </w:rPr>
        <w:t xml:space="preserve">  </w:t>
      </w:r>
      <w:r w:rsidR="0063137C" w:rsidRPr="00DF1D84">
        <w:rPr>
          <w:rFonts w:ascii="Arial" w:hAnsi="Arial"/>
          <w:b/>
          <w:sz w:val="22"/>
          <w:szCs w:val="22"/>
        </w:rPr>
        <w:t>Eye injuries</w:t>
      </w:r>
      <w:r w:rsidR="00DF1D84" w:rsidRPr="00DF1D84">
        <w:rPr>
          <w:rFonts w:ascii="Arial" w:hAnsi="Arial"/>
          <w:b/>
          <w:sz w:val="22"/>
          <w:szCs w:val="22"/>
        </w:rPr>
        <w:t xml:space="preserve"> </w:t>
      </w:r>
      <w:r w:rsidR="00DF1D84">
        <w:rPr>
          <w:rFonts w:ascii="Arial" w:hAnsi="Arial"/>
          <w:b/>
          <w:sz w:val="22"/>
          <w:szCs w:val="22"/>
        </w:rPr>
        <w:t xml:space="preserve">                          </w:t>
      </w:r>
      <w:r w:rsidR="00DF1D84" w:rsidRPr="004F12F1">
        <w:rPr>
          <w:rFonts w:ascii="Arial" w:hAnsi="Arial"/>
          <w:b/>
          <w:sz w:val="22"/>
          <w:szCs w:val="22"/>
        </w:rPr>
        <w:sym w:font="Wingdings" w:char="F06E"/>
      </w:r>
      <w:r w:rsidR="00DF1D84">
        <w:rPr>
          <w:rFonts w:ascii="Arial" w:hAnsi="Arial"/>
          <w:b/>
          <w:sz w:val="22"/>
          <w:szCs w:val="22"/>
        </w:rPr>
        <w:t xml:space="preserve">  </w:t>
      </w:r>
      <w:r w:rsidRPr="00DF1D84">
        <w:rPr>
          <w:rFonts w:ascii="Arial" w:hAnsi="Arial"/>
          <w:b/>
          <w:sz w:val="22"/>
          <w:szCs w:val="22"/>
        </w:rPr>
        <w:t>Toxic fumes</w:t>
      </w:r>
      <w:r w:rsidR="0065180D" w:rsidRPr="00DF1D84">
        <w:rPr>
          <w:rFonts w:ascii="Arial" w:hAnsi="Arial"/>
          <w:b/>
          <w:sz w:val="22"/>
          <w:szCs w:val="22"/>
        </w:rPr>
        <w:t xml:space="preserve">                   </w:t>
      </w:r>
    </w:p>
    <w:p w14:paraId="01E81833" w14:textId="77777777" w:rsidR="006732B9" w:rsidRPr="00E537A0" w:rsidRDefault="006732B9" w:rsidP="006732B9">
      <w:pPr>
        <w:pStyle w:val="p1"/>
        <w:jc w:val="center"/>
        <w:rPr>
          <w:sz w:val="16"/>
          <w:szCs w:val="16"/>
        </w:rPr>
      </w:pPr>
      <w:bookmarkStart w:id="2" w:name="_Hlk53415645"/>
      <w:bookmarkStart w:id="3" w:name="_Hlk53416157"/>
      <w:bookmarkStart w:id="4" w:name="_Hlk53415727"/>
      <w:bookmarkStart w:id="5" w:name="_Hlk53415908"/>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bookmarkEnd w:id="2"/>
    <w:p w14:paraId="3E4BEF76" w14:textId="5884B41E" w:rsidR="009B10CB" w:rsidRDefault="009B10CB" w:rsidP="009B10CB">
      <w:pPr>
        <w:rPr>
          <w:rFonts w:ascii="Arial" w:hAnsi="Arial"/>
        </w:rPr>
      </w:pPr>
    </w:p>
    <w:bookmarkEnd w:id="3"/>
    <w:p w14:paraId="1B220FDA" w14:textId="11D001D2" w:rsidR="00FE30B0" w:rsidRDefault="00FE30B0" w:rsidP="00FE30B0">
      <w:pPr>
        <w:jc w:val="right"/>
        <w:rPr>
          <w:rFonts w:ascii="Arial" w:eastAsia="MS Mincho" w:hAnsi="Arial" w:cs="Arial"/>
          <w:sz w:val="20"/>
          <w:lang w:val="en-US"/>
        </w:rPr>
      </w:pPr>
    </w:p>
    <w:bookmarkEnd w:id="4"/>
    <w:p w14:paraId="73E28B76" w14:textId="07C7FAE6" w:rsidR="005C372A" w:rsidRDefault="005C372A" w:rsidP="00FE30B0">
      <w:pPr>
        <w:jc w:val="right"/>
        <w:rPr>
          <w:rFonts w:ascii="Arial" w:eastAsia="MS Mincho" w:hAnsi="Arial" w:cs="Arial"/>
          <w:sz w:val="20"/>
          <w:lang w:val="en-US"/>
        </w:rPr>
      </w:pPr>
    </w:p>
    <w:p w14:paraId="10D0DFCC" w14:textId="77777777" w:rsidR="005C372A" w:rsidRDefault="005C372A" w:rsidP="00FE30B0">
      <w:pPr>
        <w:jc w:val="right"/>
        <w:rPr>
          <w:rFonts w:ascii="Arial" w:eastAsia="MS Mincho" w:hAnsi="Arial" w:cs="Arial"/>
          <w:sz w:val="20"/>
          <w:lang w:val="en-US"/>
        </w:rPr>
      </w:pPr>
      <w:bookmarkStart w:id="6" w:name="_Hlk53416407"/>
      <w:bookmarkStart w:id="7" w:name="_Hlk53416498"/>
      <w:bookmarkStart w:id="8" w:name="_Hlk53415529"/>
    </w:p>
    <w:p w14:paraId="04C6D067" w14:textId="51D91A40" w:rsidR="00FE30B0" w:rsidRPr="00416FDC" w:rsidRDefault="00FE30B0" w:rsidP="00FE30B0">
      <w:pPr>
        <w:jc w:val="right"/>
        <w:rPr>
          <w:rFonts w:ascii="Arial" w:eastAsia="MS Mincho" w:hAnsi="Arial" w:cs="Arial"/>
          <w:sz w:val="20"/>
          <w:lang w:val="en-US"/>
        </w:rPr>
      </w:pPr>
      <w:bookmarkStart w:id="9" w:name="_Hlk53416287"/>
      <w:bookmarkStart w:id="10" w:name="_Hlk53415867"/>
      <w:bookmarkStart w:id="11" w:name="_Hlk53415570"/>
      <w:r w:rsidRPr="00416FDC">
        <w:rPr>
          <w:rFonts w:ascii="Arial" w:eastAsia="MS Mincho" w:hAnsi="Arial" w:cs="Arial"/>
          <w:sz w:val="20"/>
          <w:lang w:val="en-US"/>
        </w:rPr>
        <w:t>© State of Queensland (State Library of Queensland) 2020</w:t>
      </w:r>
    </w:p>
    <w:p w14:paraId="01DC76BB" w14:textId="77777777" w:rsidR="00FE30B0" w:rsidRDefault="00FE30B0" w:rsidP="00FE30B0">
      <w:pPr>
        <w:jc w:val="right"/>
        <w:rPr>
          <w:rFonts w:ascii="Arial" w:eastAsia="MS Mincho" w:hAnsi="Arial" w:cs="Arial"/>
          <w:sz w:val="20"/>
          <w:lang w:val="en-US"/>
        </w:rPr>
      </w:pPr>
    </w:p>
    <w:p w14:paraId="5A35A75A" w14:textId="78341A28" w:rsidR="00FE30B0" w:rsidRPr="00416FDC" w:rsidRDefault="00FE30B0" w:rsidP="00FE30B0">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576220C7" w14:textId="77777777" w:rsidR="00FE30B0" w:rsidRPr="00416FDC" w:rsidRDefault="00FE30B0" w:rsidP="00FE30B0">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F947F6A" wp14:editId="7EE8F8D2">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4A9E7F1C" wp14:editId="3D7F2186">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6A906083" w14:textId="77777777" w:rsidR="00FE30B0" w:rsidRPr="00416FDC" w:rsidRDefault="00FE30B0" w:rsidP="00FE30B0">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1" w:history="1">
        <w:r w:rsidRPr="00416FDC">
          <w:rPr>
            <w:rFonts w:ascii="Arial" w:eastAsia="MS Mincho" w:hAnsi="Arial" w:cs="Arial"/>
            <w:color w:val="0000FF"/>
            <w:sz w:val="20"/>
            <w:u w:val="single"/>
            <w:lang w:val="en-US"/>
          </w:rPr>
          <w:t>http://creativecommons.org/licenses/by/3.0/au</w:t>
        </w:r>
      </w:hyperlink>
    </w:p>
    <w:bookmarkEnd w:id="6"/>
    <w:bookmarkEnd w:id="9"/>
    <w:p w14:paraId="3FD362D9" w14:textId="77777777" w:rsidR="00FE30B0" w:rsidRPr="00416FDC" w:rsidRDefault="00FE30B0" w:rsidP="00FE30B0">
      <w:pPr>
        <w:tabs>
          <w:tab w:val="left" w:pos="6084"/>
        </w:tabs>
        <w:jc w:val="right"/>
        <w:rPr>
          <w:rFonts w:ascii="Arial" w:eastAsia="MS Mincho" w:hAnsi="Arial" w:cs="Arial"/>
          <w:color w:val="0000FF"/>
          <w:sz w:val="20"/>
          <w:u w:val="single"/>
          <w:lang w:val="en-US"/>
        </w:rPr>
      </w:pPr>
    </w:p>
    <w:bookmarkEnd w:id="10"/>
    <w:bookmarkEnd w:id="7"/>
    <w:p w14:paraId="2B83EFD5" w14:textId="77777777" w:rsidR="00FE30B0" w:rsidRPr="00956FEE" w:rsidRDefault="00FE30B0" w:rsidP="00FE30B0">
      <w:pPr>
        <w:rPr>
          <w:rFonts w:ascii="Arial" w:hAnsi="Arial"/>
          <w:sz w:val="2"/>
          <w:szCs w:val="2"/>
        </w:rPr>
      </w:pPr>
    </w:p>
    <w:bookmarkEnd w:id="5"/>
    <w:bookmarkEnd w:id="8"/>
    <w:bookmarkEnd w:id="11"/>
    <w:p w14:paraId="75FEC128" w14:textId="53BA433F" w:rsidR="00FE30B0" w:rsidRPr="009B10CB" w:rsidRDefault="00FE30B0" w:rsidP="009B10CB">
      <w:pPr>
        <w:rPr>
          <w:rFonts w:ascii="Arial" w:hAnsi="Arial"/>
        </w:rPr>
      </w:pPr>
    </w:p>
    <w:sectPr w:rsidR="00FE30B0" w:rsidRPr="009B10CB" w:rsidSect="00722588">
      <w:footerReference w:type="default" r:id="rId22"/>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AC13" w14:textId="77777777" w:rsidR="00BB1A2F" w:rsidRDefault="00BB1A2F">
      <w:r>
        <w:separator/>
      </w:r>
    </w:p>
  </w:endnote>
  <w:endnote w:type="continuationSeparator" w:id="0">
    <w:p w14:paraId="5D899E5E" w14:textId="77777777" w:rsidR="00BB1A2F" w:rsidRDefault="00B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FE30B0" w:rsidRPr="00416FDC" w14:paraId="20AFB222" w14:textId="77777777" w:rsidTr="00EE3499">
      <w:trPr>
        <w:trHeight w:val="163"/>
        <w:jc w:val="center"/>
      </w:trPr>
      <w:tc>
        <w:tcPr>
          <w:tcW w:w="7995" w:type="dxa"/>
          <w:gridSpan w:val="4"/>
          <w:shd w:val="clear" w:color="auto" w:fill="auto"/>
        </w:tcPr>
        <w:p w14:paraId="2705DCA4" w14:textId="77777777" w:rsidR="00FE30B0" w:rsidRPr="00416FDC" w:rsidRDefault="00FE30B0" w:rsidP="00FE30B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26EE57EC" w14:textId="77777777" w:rsidR="00FE30B0" w:rsidRPr="00416FDC" w:rsidRDefault="00FE30B0" w:rsidP="00FE30B0">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FE30B0" w:rsidRPr="00416FDC" w14:paraId="3CB8B09B" w14:textId="77777777" w:rsidTr="00EE3499">
      <w:trPr>
        <w:trHeight w:val="156"/>
        <w:jc w:val="center"/>
      </w:trPr>
      <w:tc>
        <w:tcPr>
          <w:tcW w:w="2648" w:type="dxa"/>
          <w:shd w:val="clear" w:color="auto" w:fill="C0C0C0"/>
          <w:vAlign w:val="center"/>
        </w:tcPr>
        <w:p w14:paraId="0F517B13" w14:textId="77777777" w:rsidR="00FE30B0" w:rsidRPr="00416FDC" w:rsidRDefault="00FE30B0" w:rsidP="00FE30B0">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43EB4EA2" w14:textId="77777777" w:rsidR="00FE30B0" w:rsidRPr="00416FDC" w:rsidRDefault="00FE30B0" w:rsidP="00FE30B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353488AD" w14:textId="77777777" w:rsidR="00FE30B0" w:rsidRPr="00416FDC" w:rsidRDefault="00FE30B0" w:rsidP="00FE30B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3B6C16EF" w14:textId="77777777" w:rsidR="00FE30B0" w:rsidRPr="00416FDC" w:rsidRDefault="00FE30B0" w:rsidP="00FE30B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FE30B0" w:rsidRPr="00416FDC" w14:paraId="7810A678" w14:textId="77777777" w:rsidTr="00EE3499">
      <w:trPr>
        <w:trHeight w:val="156"/>
        <w:jc w:val="center"/>
      </w:trPr>
      <w:tc>
        <w:tcPr>
          <w:tcW w:w="2648" w:type="dxa"/>
          <w:shd w:val="clear" w:color="auto" w:fill="FFFFFF"/>
          <w:vAlign w:val="center"/>
        </w:tcPr>
        <w:p w14:paraId="145C05B9" w14:textId="77777777" w:rsidR="00FE30B0" w:rsidRPr="00416FDC" w:rsidRDefault="00FE30B0" w:rsidP="00FE30B0">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295454C3" w14:textId="77777777" w:rsidR="00FE30B0" w:rsidRPr="00416FDC" w:rsidRDefault="00FE30B0" w:rsidP="00FE30B0">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23448C6A" w14:textId="77777777" w:rsidR="00FE30B0" w:rsidRPr="00416FDC" w:rsidRDefault="00FE30B0" w:rsidP="00FE30B0">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17CB949A" w14:textId="77777777" w:rsidR="00FE30B0" w:rsidRPr="00416FDC" w:rsidRDefault="00FE30B0" w:rsidP="00FE30B0">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4010E4DE" w14:textId="77777777" w:rsidR="0040241D" w:rsidRPr="00FE30B0" w:rsidRDefault="0040241D" w:rsidP="00FE3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6AB65" w14:textId="77777777" w:rsidR="00BB1A2F" w:rsidRDefault="00BB1A2F">
      <w:r>
        <w:separator/>
      </w:r>
    </w:p>
  </w:footnote>
  <w:footnote w:type="continuationSeparator" w:id="0">
    <w:p w14:paraId="5F74668C" w14:textId="77777777" w:rsidR="00BB1A2F" w:rsidRDefault="00BB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23F0B"/>
    <w:rsid w:val="00031861"/>
    <w:rsid w:val="000368C7"/>
    <w:rsid w:val="000D5C6C"/>
    <w:rsid w:val="000F129C"/>
    <w:rsid w:val="00136489"/>
    <w:rsid w:val="00210924"/>
    <w:rsid w:val="0022635B"/>
    <w:rsid w:val="00236874"/>
    <w:rsid w:val="0024522D"/>
    <w:rsid w:val="00285B42"/>
    <w:rsid w:val="002B7735"/>
    <w:rsid w:val="002C7644"/>
    <w:rsid w:val="002F297D"/>
    <w:rsid w:val="00353506"/>
    <w:rsid w:val="0036298C"/>
    <w:rsid w:val="003D2C1E"/>
    <w:rsid w:val="003E3FB2"/>
    <w:rsid w:val="003E694A"/>
    <w:rsid w:val="0040241D"/>
    <w:rsid w:val="00432CEC"/>
    <w:rsid w:val="004630F6"/>
    <w:rsid w:val="004B68B3"/>
    <w:rsid w:val="004D5F4F"/>
    <w:rsid w:val="004F12F1"/>
    <w:rsid w:val="005067E5"/>
    <w:rsid w:val="00555459"/>
    <w:rsid w:val="005941F6"/>
    <w:rsid w:val="005A342C"/>
    <w:rsid w:val="005B434A"/>
    <w:rsid w:val="005C372A"/>
    <w:rsid w:val="005C4346"/>
    <w:rsid w:val="0063137C"/>
    <w:rsid w:val="0065180D"/>
    <w:rsid w:val="006657AD"/>
    <w:rsid w:val="00666EA3"/>
    <w:rsid w:val="006732B9"/>
    <w:rsid w:val="006A07E8"/>
    <w:rsid w:val="006A0D69"/>
    <w:rsid w:val="006E010F"/>
    <w:rsid w:val="00722588"/>
    <w:rsid w:val="00740C1B"/>
    <w:rsid w:val="007847C3"/>
    <w:rsid w:val="007A5B67"/>
    <w:rsid w:val="007B531E"/>
    <w:rsid w:val="00816522"/>
    <w:rsid w:val="00871E69"/>
    <w:rsid w:val="008B445A"/>
    <w:rsid w:val="008C208B"/>
    <w:rsid w:val="00901C60"/>
    <w:rsid w:val="00910662"/>
    <w:rsid w:val="009346CC"/>
    <w:rsid w:val="00951582"/>
    <w:rsid w:val="009B10CB"/>
    <w:rsid w:val="00A02EF0"/>
    <w:rsid w:val="00A67EA2"/>
    <w:rsid w:val="00A77C63"/>
    <w:rsid w:val="00B71248"/>
    <w:rsid w:val="00B9730E"/>
    <w:rsid w:val="00BA05CA"/>
    <w:rsid w:val="00BB1A2F"/>
    <w:rsid w:val="00BD2016"/>
    <w:rsid w:val="00BD6164"/>
    <w:rsid w:val="00CD483C"/>
    <w:rsid w:val="00D3351A"/>
    <w:rsid w:val="00D340AE"/>
    <w:rsid w:val="00D93687"/>
    <w:rsid w:val="00DF1D84"/>
    <w:rsid w:val="00DF7B11"/>
    <w:rsid w:val="00ED113E"/>
    <w:rsid w:val="00F177EA"/>
    <w:rsid w:val="00F2654F"/>
    <w:rsid w:val="00F57786"/>
    <w:rsid w:val="00FA1606"/>
    <w:rsid w:val="00FB1A06"/>
    <w:rsid w:val="00FE30B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2A32E69"/>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paragraph" w:customStyle="1" w:styleId="p1">
    <w:name w:val="p1"/>
    <w:basedOn w:val="Normal"/>
    <w:rsid w:val="006732B9"/>
    <w:rPr>
      <w:rFonts w:ascii="Helvetica" w:hAnsi="Helvetica"/>
      <w:sz w:val="11"/>
      <w:szCs w:val="11"/>
      <w:lang w:val="en-GB" w:eastAsia="en-GB"/>
    </w:rPr>
  </w:style>
  <w:style w:type="character" w:customStyle="1" w:styleId="FooterChar">
    <w:name w:val="Footer Char"/>
    <w:basedOn w:val="DefaultParagraphFont"/>
    <w:link w:val="Footer"/>
    <w:rsid w:val="00023F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704529">
      <w:bodyDiv w:val="1"/>
      <w:marLeft w:val="0"/>
      <w:marRight w:val="0"/>
      <w:marTop w:val="0"/>
      <w:marBottom w:val="0"/>
      <w:divBdr>
        <w:top w:val="none" w:sz="0" w:space="0" w:color="auto"/>
        <w:left w:val="none" w:sz="0" w:space="0" w:color="auto"/>
        <w:bottom w:val="none" w:sz="0" w:space="0" w:color="auto"/>
        <w:right w:val="none" w:sz="0" w:space="0" w:color="auto"/>
      </w:divBdr>
    </w:div>
    <w:div w:id="15920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creativecommons.org/licenses/by/3.0/au"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312D-7215-4898-9B89-D07094C11B64}">
  <ds:schemaRefs>
    <ds:schemaRef ds:uri="http://schemas.microsoft.com/sharepoint/v3/contenttype/forms"/>
  </ds:schemaRefs>
</ds:datastoreItem>
</file>

<file path=customXml/itemProps2.xml><?xml version="1.0" encoding="utf-8"?>
<ds:datastoreItem xmlns:ds="http://schemas.openxmlformats.org/officeDocument/2006/customXml" ds:itemID="{5FFBDCBB-632B-4D48-94C6-5460898DEFE5}">
  <ds:schemaRefs>
    <ds:schemaRef ds:uri="http://purl.org/dc/terms/"/>
    <ds:schemaRef ds:uri="http://schemas.microsoft.com/office/2006/metadata/properties"/>
    <ds:schemaRef ds:uri="http://schemas.microsoft.com/office/2006/documentManagement/types"/>
    <ds:schemaRef ds:uri="http://schemas.microsoft.com/sharepoint/v3"/>
    <ds:schemaRef ds:uri="f114f5df-7614-43c1-ba8e-2daa6e537108"/>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5AE46F6-59C8-49A1-AE12-24D4C92C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29006-CAAA-4D64-8FC9-7CA259C8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447</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Safe operating procedure - Hot melt glue gun</vt:lpstr>
    </vt:vector>
  </TitlesOfParts>
  <Company>DETE</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Hot melt glue gun</dc:title>
  <dc:subject/>
  <dc:creator>COOPER, Philip;CLARK, Brian</dc:creator>
  <cp:keywords>DETE, Education Queensland</cp:keywords>
  <cp:lastModifiedBy>Andrei Maberley</cp:lastModifiedBy>
  <cp:revision>14</cp:revision>
  <cp:lastPrinted>2020-02-10T23:59:00Z</cp:lastPrinted>
  <dcterms:created xsi:type="dcterms:W3CDTF">2020-02-07T04:07:00Z</dcterms:created>
  <dcterms:modified xsi:type="dcterms:W3CDTF">2020-10-13T03:35:00Z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