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1850390</wp:posOffset>
                </wp:positionH>
                <wp:positionV relativeFrom="paragraph">
                  <wp:posOffset>416560</wp:posOffset>
                </wp:positionV>
                <wp:extent cx="2872596" cy="609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507C" w:rsidRPr="00ED297B" w:rsidRDefault="001F507C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SANDERS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  <w:r w:rsidRPr="009244B1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(Cordless</w:t>
                            </w:r>
                            <w:r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 xml:space="preserve"> – various models</w:t>
                            </w:r>
                            <w:r w:rsidRPr="009244B1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5.7pt;margin-top:32.8pt;width:226.2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" filled="f" stroked="f" strokeweight=".5pt">
                <v:textbox>
                  <w:txbxContent>
                    <w:p w:rsidR="001F507C" w:rsidRPr="00ED297B" w:rsidRDefault="001F507C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SANDERS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  <w:r w:rsidRPr="009244B1">
                        <w:rPr>
                          <w:i/>
                          <w:color w:val="FFFFFF" w:themeColor="background1"/>
                          <w:szCs w:val="39"/>
                        </w:rPr>
                        <w:t>(Cordless</w:t>
                      </w:r>
                      <w:r>
                        <w:rPr>
                          <w:i/>
                          <w:color w:val="FFFFFF" w:themeColor="background1"/>
                          <w:szCs w:val="39"/>
                        </w:rPr>
                        <w:t xml:space="preserve"> – various models</w:t>
                      </w:r>
                      <w:r w:rsidRPr="009244B1">
                        <w:rPr>
                          <w:i/>
                          <w:color w:val="FFFFFF" w:themeColor="background1"/>
                          <w:szCs w:val="39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17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D306CE" w:rsidRDefault="00D306CE" w:rsidP="00D306CE">
      <w:pPr>
        <w:pStyle w:val="Heading2"/>
        <w:spacing w:before="240" w:after="0" w:line="240" w:lineRule="auto"/>
        <w:rPr>
          <w:sz w:val="36"/>
          <w:szCs w:val="36"/>
        </w:rPr>
      </w:pPr>
      <w:r w:rsidRPr="001F507C">
        <w:rPr>
          <w:noProof/>
          <w:sz w:val="36"/>
          <w:szCs w:val="36"/>
        </w:rPr>
        <w:drawing>
          <wp:anchor distT="0" distB="71755" distL="114300" distR="114300" simplePos="0" relativeHeight="251667968" behindDoc="1" locked="0" layoutInCell="1" allowOverlap="1" wp14:anchorId="42DB24D0" wp14:editId="6C200F0F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1866265" cy="1908175"/>
            <wp:effectExtent l="0" t="0" r="635" b="0"/>
            <wp:wrapThrough wrapText="bothSides">
              <wp:wrapPolygon edited="0">
                <wp:start x="0" y="0"/>
                <wp:lineTo x="0" y="21348"/>
                <wp:lineTo x="21387" y="21348"/>
                <wp:lineTo x="21387" y="0"/>
                <wp:lineTo x="0" y="0"/>
              </wp:wrapPolygon>
            </wp:wrapThrough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dless Orbital San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8D4C0C" w:rsidRPr="008D4C0C" w:rsidRDefault="008D4C0C" w:rsidP="008D4C0C"/>
    <w:p w:rsidR="00D306CE" w:rsidRPr="00203A00" w:rsidRDefault="00D306CE" w:rsidP="00D306CE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7365AF" w:rsidRPr="007365AF">
        <w:rPr>
          <w:b/>
          <w:color w:val="FF0000"/>
          <w:sz w:val="20"/>
        </w:rPr>
        <w:t>State Library of Queensland</w:t>
      </w:r>
      <w:r w:rsidR="0012633D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205A8C" w:rsidRDefault="00D306CE" w:rsidP="00D306CE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D306CE" w:rsidRPr="00D306CE" w:rsidRDefault="00D306CE" w:rsidP="00D306CE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D306CE">
              <w:rPr>
                <w:rFonts w:cs="Arial"/>
                <w:b/>
                <w:color w:val="000080"/>
                <w:sz w:val="20"/>
              </w:rPr>
              <w:t>Orbital Sander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306CE">
              <w:rPr>
                <w:rFonts w:cs="Arial"/>
                <w:b/>
                <w:bCs/>
                <w:iCs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306CE">
              <w:rPr>
                <w:rFonts w:cs="Arial"/>
                <w:b/>
                <w:color w:val="000080"/>
                <w:sz w:val="20"/>
              </w:rPr>
              <w:t>Fabrication Labs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306CE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306CE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1F507C" w:rsidRPr="00A55D00" w:rsidTr="008E0E85">
        <w:trPr>
          <w:trHeight w:val="3848"/>
        </w:trPr>
        <w:tc>
          <w:tcPr>
            <w:tcW w:w="562" w:type="dxa"/>
            <w:shd w:val="clear" w:color="auto" w:fill="auto"/>
            <w:vAlign w:val="center"/>
          </w:tcPr>
          <w:p w:rsidR="001F507C" w:rsidRDefault="001F507C" w:rsidP="001F507C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F507C" w:rsidRPr="00657753" w:rsidRDefault="001F507C" w:rsidP="001F507C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961" w:type="dxa"/>
            <w:vAlign w:val="center"/>
          </w:tcPr>
          <w:p w:rsidR="001F507C" w:rsidRDefault="001F507C" w:rsidP="001F507C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When used for sanding materials </w:t>
            </w:r>
            <w:r w:rsidRPr="00F83BAD">
              <w:rPr>
                <w:rFonts w:ascii="Arial" w:hAnsi="Arial" w:cs="Arial"/>
                <w:color w:val="000000"/>
                <w:sz w:val="20"/>
                <w:szCs w:val="20"/>
              </w:rPr>
              <w:t>on a flat,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regular, knot free surface.</w:t>
            </w:r>
          </w:p>
          <w:p w:rsidR="001F507C" w:rsidRDefault="001F507C" w:rsidP="001F507C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the work piece can be securely clamped or held in a vice.</w:t>
            </w:r>
          </w:p>
          <w:p w:rsidR="001F507C" w:rsidRDefault="001F507C" w:rsidP="001F507C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F83BAD">
              <w:rPr>
                <w:rFonts w:ascii="Arial" w:hAnsi="Arial" w:cs="Arial"/>
                <w:color w:val="000000"/>
                <w:sz w:val="20"/>
                <w:szCs w:val="20"/>
              </w:rPr>
              <w:t>hen working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 a comfortable height for the operator.</w:t>
            </w:r>
          </w:p>
          <w:p w:rsidR="001F507C" w:rsidRPr="00F83BAD" w:rsidRDefault="001F507C" w:rsidP="001F507C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after="6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 w:rsidRPr="003F6778">
              <w:rPr>
                <w:rFonts w:cs="Arial"/>
                <w:bCs/>
                <w:iCs/>
                <w:color w:val="000000"/>
                <w:sz w:val="20"/>
              </w:rPr>
              <w:t xml:space="preserve">When the sander can be held firmly with both hands during </w:t>
            </w:r>
            <w:r>
              <w:rPr>
                <w:rFonts w:cs="Arial"/>
                <w:bCs/>
                <w:iCs/>
                <w:color w:val="000000"/>
                <w:sz w:val="20"/>
              </w:rPr>
              <w:t xml:space="preserve">the </w:t>
            </w:r>
            <w:r w:rsidRPr="003F6778">
              <w:rPr>
                <w:rFonts w:cs="Arial"/>
                <w:bCs/>
                <w:iCs/>
                <w:color w:val="000000"/>
                <w:sz w:val="20"/>
              </w:rPr>
              <w:t>operation.</w:t>
            </w:r>
          </w:p>
          <w:p w:rsidR="001F507C" w:rsidRPr="00E169DD" w:rsidRDefault="001F507C" w:rsidP="001F507C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before="120" w:beforeAutospacing="0" w:after="120" w:afterAutospacing="0"/>
              <w:ind w:left="252" w:hanging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using the sander with a dust extraction or filter bag.</w:t>
            </w:r>
          </w:p>
        </w:tc>
        <w:tc>
          <w:tcPr>
            <w:tcW w:w="3285" w:type="dxa"/>
            <w:vAlign w:val="center"/>
          </w:tcPr>
          <w:p w:rsidR="001F507C" w:rsidRPr="00A55D00" w:rsidRDefault="001F507C" w:rsidP="001F507C">
            <w:pPr>
              <w:numPr>
                <w:ilvl w:val="0"/>
                <w:numId w:val="27"/>
              </w:numPr>
              <w:tabs>
                <w:tab w:val="clear" w:pos="612"/>
                <w:tab w:val="num" w:pos="301"/>
              </w:tabs>
              <w:ind w:left="301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306CE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12633D">
              <w:rPr>
                <w:rFonts w:cs="Arial"/>
                <w:bCs/>
                <w:iCs/>
                <w:sz w:val="20"/>
              </w:rPr>
              <w:t>State Library</w:t>
            </w:r>
            <w:r w:rsidR="00D306CE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D306CE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D306CE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D306CE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306CE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bookmarkStart w:id="2" w:name="_GoBack"/>
            <w:bookmarkEnd w:id="2"/>
            <w:r w:rsidRPr="00745947">
              <w:rPr>
                <w:bCs/>
                <w:iCs/>
                <w:color w:val="000000"/>
                <w:sz w:val="20"/>
              </w:rPr>
              <w:t>A</w:t>
            </w:r>
            <w:r w:rsidR="00D306CE">
              <w:rPr>
                <w:bCs/>
                <w:iCs/>
                <w:color w:val="000000"/>
                <w:sz w:val="20"/>
              </w:rPr>
              <w:t xml:space="preserve"> </w:t>
            </w:r>
            <w:r w:rsidR="00D306CE" w:rsidRPr="00CD5521">
              <w:rPr>
                <w:rFonts w:cs="Arial"/>
                <w:bCs/>
                <w:iCs/>
                <w:sz w:val="20"/>
              </w:rPr>
              <w:t>Contractor</w:t>
            </w:r>
            <w:r w:rsidR="00D306CE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12633D">
              <w:rPr>
                <w:rFonts w:cs="Arial"/>
                <w:bCs/>
                <w:iCs/>
                <w:sz w:val="20"/>
              </w:rPr>
              <w:t>State Library</w:t>
            </w:r>
            <w:r w:rsidR="00D306CE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D306CE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D306CE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D306CE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60F98">
              <w:rPr>
                <w:rFonts w:cs="Arial"/>
                <w:b/>
                <w:color w:val="000080"/>
                <w:sz w:val="20"/>
              </w:rPr>
              <w:t xml:space="preserve"> Initial safety training for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9403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9403FD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D306CE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60F98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A60F98">
              <w:rPr>
                <w:rFonts w:cs="Arial"/>
                <w:b/>
                <w:color w:val="000080"/>
                <w:sz w:val="20"/>
              </w:rPr>
              <w:t>under general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D306CE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D306CE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D306CE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D306CE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>fety induction e.g. Student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D306CE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>
              <w:rPr>
                <w:rFonts w:cs="Arial"/>
                <w:color w:val="000000"/>
                <w:sz w:val="20"/>
              </w:rPr>
              <w:t xml:space="preserve">ITD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306CE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306CE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306CE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306CE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306CE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306CE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306CE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A60F98">
              <w:rPr>
                <w:rFonts w:cs="Arial"/>
                <w:b/>
                <w:color w:val="000080"/>
                <w:sz w:val="20"/>
              </w:rPr>
              <w:t xml:space="preserve"> Supervisor to assess and define all Safe Working Zones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114EC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9403FD" w:rsidRPr="00A55D00" w:rsidTr="008114EC">
        <w:trPr>
          <w:cantSplit/>
          <w:trHeight w:val="88"/>
        </w:trPr>
        <w:tc>
          <w:tcPr>
            <w:tcW w:w="2661" w:type="dxa"/>
            <w:vMerge w:val="restart"/>
          </w:tcPr>
          <w:p w:rsidR="009403FD" w:rsidRPr="005E17E1" w:rsidRDefault="009403FD" w:rsidP="009403FD">
            <w:pPr>
              <w:spacing w:before="240"/>
              <w:ind w:right="-113"/>
              <w:rPr>
                <w:b/>
                <w:szCs w:val="22"/>
              </w:rPr>
            </w:pPr>
            <w:r>
              <w:rPr>
                <w:b/>
                <w:sz w:val="20"/>
              </w:rPr>
              <w:t xml:space="preserve">  </w:t>
            </w: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9403FD" w:rsidRPr="005E17E1" w:rsidRDefault="009403FD" w:rsidP="009403FD">
            <w:pPr>
              <w:spacing w:after="6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9403FD" w:rsidRPr="00997FE4" w:rsidRDefault="009403FD" w:rsidP="009403FD">
            <w:pPr>
              <w:numPr>
                <w:ilvl w:val="0"/>
                <w:numId w:val="36"/>
              </w:numPr>
              <w:tabs>
                <w:tab w:val="clear" w:pos="644"/>
                <w:tab w:val="num" w:pos="180"/>
              </w:tabs>
              <w:spacing w:before="240"/>
              <w:ind w:hanging="644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9403FD" w:rsidRPr="00B70012" w:rsidRDefault="009403FD" w:rsidP="009403FD">
            <w:pPr>
              <w:spacing w:after="60"/>
              <w:ind w:left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</w:t>
            </w:r>
            <w:r w:rsidRPr="00B70012">
              <w:rPr>
                <w:b/>
                <w:sz w:val="20"/>
              </w:rPr>
              <w:t>Entrapment</w:t>
            </w:r>
          </w:p>
          <w:p w:rsidR="009403FD" w:rsidRPr="002A6993" w:rsidRDefault="009403FD" w:rsidP="009403FD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9403FD" w:rsidRPr="002A6993" w:rsidRDefault="009403FD" w:rsidP="009403FD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</w:t>
            </w:r>
            <w:r w:rsidRPr="002A6993">
              <w:rPr>
                <w:b/>
                <w:sz w:val="20"/>
              </w:rPr>
              <w:t>Striking</w:t>
            </w:r>
          </w:p>
          <w:p w:rsidR="009403FD" w:rsidRDefault="009403FD" w:rsidP="009403FD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>piece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9403FD" w:rsidRPr="004F770F" w:rsidRDefault="009403FD" w:rsidP="009403FD">
            <w:pPr>
              <w:pStyle w:val="BodyText"/>
              <w:keepNext/>
              <w:keepLines/>
              <w:spacing w:before="6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all cordless sanders, are substituted or replaced with less hazardous alternatives.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Default="009403FD" w:rsidP="009403FD">
            <w:pPr>
              <w:snapToGrid w:val="0"/>
              <w:spacing w:before="240" w:after="60"/>
              <w:ind w:left="57"/>
              <w:rPr>
                <w:b/>
                <w:color w:val="000080"/>
                <w:sz w:val="20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</w:t>
            </w:r>
          </w:p>
        </w:tc>
      </w:tr>
      <w:tr w:rsidR="009403FD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ll necessary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machinery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abrasive surfaces.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the manufacturer’s standards</w:t>
            </w:r>
          </w:p>
        </w:tc>
      </w:tr>
      <w:tr w:rsidR="001F507C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1F507C" w:rsidRDefault="001F507C" w:rsidP="001F507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F507C" w:rsidRDefault="001F507C" w:rsidP="001F507C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9403FD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F507C" w:rsidRPr="00A55D00" w:rsidRDefault="009403FD" w:rsidP="001F507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F507C" w:rsidRPr="00A55D00" w:rsidRDefault="001F507C" w:rsidP="001F507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F507C" w:rsidRPr="009403FD" w:rsidRDefault="009403FD" w:rsidP="001F507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403FD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9403FD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(SOP’s) are available and clearly displayed for</w:t>
            </w:r>
            <w:r w:rsidRPr="002A6993">
              <w:rPr>
                <w:rFonts w:cs="Arial"/>
                <w:sz w:val="18"/>
                <w:szCs w:val="18"/>
              </w:rPr>
              <w:t xml:space="preserve"> all </w:t>
            </w:r>
            <w:r>
              <w:rPr>
                <w:rFonts w:cs="Arial"/>
                <w:sz w:val="18"/>
                <w:szCs w:val="18"/>
              </w:rPr>
              <w:t>plant and machinery – including all portable cordless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CC1748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Located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equipment and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in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folder</w:t>
            </w:r>
          </w:p>
        </w:tc>
      </w:tr>
      <w:tr w:rsidR="009403FD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F361FB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cordless power tools or their battery chargers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CC1748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CC1748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Standard LOTO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Procedures</w:t>
            </w:r>
          </w:p>
        </w:tc>
      </w:tr>
      <w:tr w:rsidR="009403FD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here practical, all sanding activities are isolated </w:t>
            </w:r>
            <w:r w:rsidRPr="006D371A">
              <w:rPr>
                <w:rFonts w:cs="Arial"/>
                <w:color w:val="000000"/>
                <w:sz w:val="18"/>
                <w:szCs w:val="18"/>
              </w:rPr>
              <w:t>away from other</w:t>
            </w:r>
            <w:r>
              <w:rPr>
                <w:rFonts w:cs="Arial"/>
                <w:color w:val="000000"/>
                <w:sz w:val="18"/>
                <w:szCs w:val="18"/>
              </w:rPr>
              <w:t>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CC1748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or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JSA to 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ddress requirements</w:t>
            </w:r>
          </w:p>
        </w:tc>
      </w:tr>
      <w:tr w:rsidR="009403FD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&amp;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CC1748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SOP requirements </w:t>
            </w:r>
          </w:p>
        </w:tc>
      </w:tr>
      <w:tr w:rsidR="009403FD" w:rsidRPr="00A55D00" w:rsidTr="008114EC">
        <w:trPr>
          <w:cantSplit/>
          <w:trHeight w:val="86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403FD" w:rsidRPr="004D22AE" w:rsidRDefault="009403FD" w:rsidP="009403F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9403FD" w:rsidRDefault="009403FD" w:rsidP="009403F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403FD" w:rsidRDefault="009403FD" w:rsidP="009403F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403FD" w:rsidRPr="002A6993" w:rsidRDefault="009403FD" w:rsidP="009403F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CC1748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  <w:p w:rsidR="009403FD" w:rsidRPr="00CC1748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9403FD" w:rsidRPr="00A55D00" w:rsidTr="008114EC">
        <w:trPr>
          <w:cantSplit/>
          <w:trHeight w:val="691"/>
        </w:trPr>
        <w:tc>
          <w:tcPr>
            <w:tcW w:w="2661" w:type="dxa"/>
            <w:vMerge w:val="restart"/>
          </w:tcPr>
          <w:p w:rsidR="009403FD" w:rsidRDefault="009403FD" w:rsidP="009403F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9403FD" w:rsidRPr="005E17E1" w:rsidRDefault="009403FD" w:rsidP="009403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9403FD" w:rsidRDefault="009403FD" w:rsidP="009403FD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9403FD" w:rsidRDefault="009403FD" w:rsidP="009403FD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9403FD" w:rsidRDefault="009403FD" w:rsidP="009403FD">
            <w:pPr>
              <w:spacing w:before="60" w:after="120"/>
              <w:rPr>
                <w:sz w:val="18"/>
                <w:szCs w:val="18"/>
              </w:rPr>
            </w:pPr>
          </w:p>
          <w:p w:rsidR="009403FD" w:rsidRDefault="009403FD" w:rsidP="009403FD">
            <w:pPr>
              <w:spacing w:before="60" w:after="120"/>
              <w:rPr>
                <w:sz w:val="18"/>
                <w:szCs w:val="18"/>
              </w:rPr>
            </w:pPr>
          </w:p>
          <w:p w:rsidR="009403FD" w:rsidRPr="00BD6FAB" w:rsidRDefault="009403FD" w:rsidP="009403FD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to battery chargers,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176DA1" w:rsidRDefault="009403FD" w:rsidP="009403FD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9403FD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9403FD" w:rsidRPr="002A6993" w:rsidRDefault="009403FD" w:rsidP="009403FD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Default="009403FD" w:rsidP="009403FD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work spaces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where all cordless sanding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Default="009403FD" w:rsidP="009403FD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9403FD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9403FD" w:rsidRPr="002A6993" w:rsidRDefault="009403FD" w:rsidP="009403FD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403FD" w:rsidRDefault="009403FD" w:rsidP="009403FD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A55D00" w:rsidRDefault="009403FD" w:rsidP="009403F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176DA1" w:rsidRDefault="009403FD" w:rsidP="009403FD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9403FD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9403FD" w:rsidRPr="002A503A" w:rsidRDefault="009403FD" w:rsidP="009403FD">
            <w:pPr>
              <w:spacing w:before="24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9403FD" w:rsidRPr="002A6993" w:rsidRDefault="009403FD" w:rsidP="009403FD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Noise</w:t>
            </w:r>
          </w:p>
          <w:p w:rsidR="009403FD" w:rsidRPr="002A6993" w:rsidRDefault="009403FD" w:rsidP="009403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9403FD" w:rsidRDefault="009403FD" w:rsidP="009403FD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9403FD" w:rsidRPr="00870CEC" w:rsidRDefault="009403FD" w:rsidP="009403FD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9403FD" w:rsidRPr="002A6993" w:rsidRDefault="009403FD" w:rsidP="009403FD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9403FD" w:rsidRPr="002A6993" w:rsidRDefault="009403FD" w:rsidP="009403FD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:rsidR="009403FD" w:rsidRPr="002A6993" w:rsidRDefault="009403FD" w:rsidP="009403FD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severe or excess vibration that could be transferable to the operator?</w:t>
            </w:r>
          </w:p>
          <w:p w:rsidR="009403FD" w:rsidRPr="002A6993" w:rsidRDefault="009403FD" w:rsidP="009403FD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9403FD" w:rsidRDefault="009403FD" w:rsidP="009403F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9403FD" w:rsidRDefault="009403FD" w:rsidP="009403F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9403FD" w:rsidRPr="006A148F" w:rsidRDefault="009403FD" w:rsidP="009403F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cordless power tools are regularly maintained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176DA1" w:rsidRDefault="009403FD" w:rsidP="009403FD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9403FD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6D497C" w:rsidRDefault="009403FD" w:rsidP="009403F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cordless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register.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340C46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9403FD" w:rsidRPr="00A55D00" w:rsidTr="0036228B">
        <w:trPr>
          <w:cantSplit/>
          <w:trHeight w:val="565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2A6993" w:rsidRDefault="009403FD" w:rsidP="009403FD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noisy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ITD 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176DA1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9403FD" w:rsidRPr="00A55D00" w:rsidTr="001C518B">
        <w:trPr>
          <w:cantSplit/>
          <w:trHeight w:val="493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Default="009403FD" w:rsidP="009403FD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Engineering controls (or physical changes) such as mandatory machinery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guarding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or any protective safety screens and enclosures are in place in all workspaces and all in good working condition.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176DA1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7773DF">
              <w:rPr>
                <w:rFonts w:cs="Arial"/>
                <w:b/>
                <w:color w:val="000080"/>
                <w:sz w:val="16"/>
                <w:szCs w:val="16"/>
              </w:rPr>
              <w:t xml:space="preserve">As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per manufacturers standards</w:t>
            </w:r>
          </w:p>
        </w:tc>
      </w:tr>
      <w:tr w:rsidR="009403FD" w:rsidRPr="00A55D00" w:rsidTr="0036228B">
        <w:trPr>
          <w:cantSplit/>
          <w:trHeight w:val="527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Default="009403FD" w:rsidP="009403FD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ducted fume </w:t>
            </w:r>
            <w:r w:rsidRPr="00E80C0E">
              <w:rPr>
                <w:rFonts w:cs="Arial"/>
                <w:color w:val="000000"/>
                <w:sz w:val="18"/>
                <w:szCs w:val="18"/>
              </w:rPr>
              <w:t xml:space="preserve">extraction systems are fully maintained,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cleaned and emptied, </w:t>
            </w:r>
            <w:r w:rsidRPr="00E80C0E">
              <w:rPr>
                <w:rFonts w:cs="Arial"/>
                <w:color w:val="000000"/>
                <w:sz w:val="18"/>
                <w:szCs w:val="18"/>
              </w:rPr>
              <w:t xml:space="preserve">connected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cs="Arial"/>
                <w:color w:val="000000"/>
                <w:sz w:val="18"/>
                <w:szCs w:val="18"/>
              </w:rPr>
              <w:t xml:space="preserve"> operational.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176DA1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Use a portable dust extraction</w:t>
            </w:r>
          </w:p>
        </w:tc>
      </w:tr>
      <w:tr w:rsidR="009403FD" w:rsidRPr="00A55D00" w:rsidTr="00694B6A">
        <w:trPr>
          <w:cantSplit/>
          <w:trHeight w:val="495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4A7F5A" w:rsidRDefault="009403FD" w:rsidP="009403FD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D4CC4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176DA1" w:rsidRDefault="009403FD" w:rsidP="009403FD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9403FD" w:rsidRPr="00A55D00" w:rsidTr="00694B6A">
        <w:trPr>
          <w:cantSplit/>
          <w:trHeight w:val="782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4A7F5A" w:rsidRDefault="009403FD" w:rsidP="009403F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2568E6" w:rsidRDefault="009403FD" w:rsidP="009403FD">
            <w:pPr>
              <w:snapToGrid w:val="0"/>
              <w:spacing w:before="120"/>
              <w:rPr>
                <w:b/>
                <w:color w:val="000080"/>
                <w:sz w:val="6"/>
                <w:szCs w:val="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9403FD" w:rsidRPr="00A55D00" w:rsidTr="00694B6A">
        <w:trPr>
          <w:cantSplit/>
          <w:trHeight w:val="990"/>
        </w:trPr>
        <w:tc>
          <w:tcPr>
            <w:tcW w:w="2661" w:type="dxa"/>
            <w:vMerge/>
          </w:tcPr>
          <w:p w:rsidR="009403FD" w:rsidRPr="005E17E1" w:rsidRDefault="009403FD" w:rsidP="009403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Default="009403FD" w:rsidP="009403FD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9403FD" w:rsidRDefault="009403FD" w:rsidP="009403FD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403FD" w:rsidRDefault="009403FD" w:rsidP="009403FD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403FD" w:rsidRDefault="009403FD" w:rsidP="009403FD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403FD" w:rsidRDefault="009403FD" w:rsidP="009403FD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403FD" w:rsidRPr="002A6993" w:rsidRDefault="009403FD" w:rsidP="009403FD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A55D00" w:rsidRDefault="009403FD" w:rsidP="009403FD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03FD" w:rsidRPr="00176DA1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. As per SOP requirements</w:t>
            </w:r>
          </w:p>
          <w:p w:rsidR="009403FD" w:rsidRPr="002568E6" w:rsidRDefault="009403FD" w:rsidP="009403FD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9403FD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9403FD" w:rsidRPr="002A6993" w:rsidRDefault="009403FD" w:rsidP="009403FD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9403FD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9403FD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9403FD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9403FD" w:rsidRPr="00DA04A6" w:rsidRDefault="009403FD" w:rsidP="009403FD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03FD" w:rsidRDefault="009403FD" w:rsidP="009403FD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cordless portable power tools, their electrical switches, plugs,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leads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battery charges.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03FD" w:rsidRPr="00CB4036" w:rsidRDefault="009403FD" w:rsidP="009403FD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9403FD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Default="009403FD" w:rsidP="009403FD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 etc. are completed regularly as per guidelines for all cordless portable power tool battery chargers.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9403FD" w:rsidRPr="00A55D00" w:rsidTr="003B5BD2">
        <w:trPr>
          <w:cantSplit/>
          <w:trHeight w:val="635"/>
        </w:trPr>
        <w:tc>
          <w:tcPr>
            <w:tcW w:w="2661" w:type="dxa"/>
            <w:vMerge/>
          </w:tcPr>
          <w:p w:rsidR="009403FD" w:rsidRDefault="009403FD" w:rsidP="009403FD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03FD" w:rsidRPr="00F361FB" w:rsidRDefault="009403FD" w:rsidP="009403FD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cordless power tools or their battery chargers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03FD" w:rsidRPr="00A55D00" w:rsidRDefault="009403FD" w:rsidP="009403F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Default="00870DE9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Standard </w:t>
            </w:r>
            <w:r w:rsidR="009403FD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LOTO procedures </w:t>
            </w:r>
            <w:r w:rsidR="009403FD"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3B5BD2" w:rsidRPr="00A55D00" w:rsidTr="003B5BD2">
        <w:trPr>
          <w:cantSplit/>
          <w:trHeight w:val="673"/>
        </w:trPr>
        <w:tc>
          <w:tcPr>
            <w:tcW w:w="2661" w:type="dxa"/>
            <w:vMerge/>
          </w:tcPr>
          <w:p w:rsidR="003B5BD2" w:rsidRDefault="003B5BD2" w:rsidP="003B5BD2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B5BD2" w:rsidRPr="00E81E8A" w:rsidRDefault="003B5BD2" w:rsidP="003B5BD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cordless power tools &amp; chargers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B5BD2" w:rsidRPr="00A55D00" w:rsidRDefault="009403FD" w:rsidP="003B5BD2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B5BD2" w:rsidRPr="00A55D00" w:rsidRDefault="003B5BD2" w:rsidP="003B5BD2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03FD" w:rsidRPr="00CB4036" w:rsidRDefault="009403FD" w:rsidP="009403F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3B5BD2" w:rsidRPr="002568E6" w:rsidRDefault="003B5BD2" w:rsidP="003B5BD2">
            <w:pPr>
              <w:snapToGrid w:val="0"/>
              <w:spacing w:before="120" w:after="6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3B5BD2" w:rsidRPr="00A55D00" w:rsidTr="003B5BD2">
        <w:trPr>
          <w:cantSplit/>
          <w:trHeight w:val="1320"/>
        </w:trPr>
        <w:tc>
          <w:tcPr>
            <w:tcW w:w="2661" w:type="dxa"/>
            <w:vMerge/>
          </w:tcPr>
          <w:p w:rsidR="003B5BD2" w:rsidRDefault="003B5BD2" w:rsidP="003B5BD2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B5BD2" w:rsidRDefault="003B5BD2" w:rsidP="009403FD">
            <w:pPr>
              <w:tabs>
                <w:tab w:val="left" w:pos="284"/>
              </w:tabs>
              <w:suppressAutoHyphens/>
              <w:spacing w:before="60" w:after="120"/>
              <w:rPr>
                <w:rFonts w:cs="Arial"/>
                <w:color w:val="000000"/>
                <w:sz w:val="18"/>
                <w:szCs w:val="18"/>
              </w:rPr>
            </w:pPr>
          </w:p>
          <w:p w:rsidR="003B5BD2" w:rsidRDefault="003B5BD2" w:rsidP="003B5BD2">
            <w:pPr>
              <w:tabs>
                <w:tab w:val="left" w:pos="284"/>
              </w:tabs>
              <w:suppressAutoHyphens/>
              <w:spacing w:before="60" w:after="120"/>
              <w:rPr>
                <w:rFonts w:cs="Arial"/>
                <w:color w:val="000000"/>
                <w:sz w:val="18"/>
                <w:szCs w:val="18"/>
              </w:rPr>
            </w:pPr>
          </w:p>
          <w:p w:rsidR="003B5BD2" w:rsidRDefault="003B5BD2" w:rsidP="003B5BD2">
            <w:pPr>
              <w:tabs>
                <w:tab w:val="left" w:pos="284"/>
              </w:tabs>
              <w:suppressAutoHyphens/>
              <w:rPr>
                <w:rFonts w:cs="Arial"/>
                <w:color w:val="000000"/>
                <w:sz w:val="18"/>
                <w:szCs w:val="18"/>
              </w:rPr>
            </w:pPr>
          </w:p>
          <w:p w:rsidR="003B5BD2" w:rsidRDefault="003B5BD2" w:rsidP="003B5BD2">
            <w:pPr>
              <w:tabs>
                <w:tab w:val="left" w:pos="284"/>
              </w:tabs>
              <w:suppressAutoHyphens/>
              <w:rPr>
                <w:rFonts w:cs="Arial"/>
                <w:color w:val="000000"/>
                <w:sz w:val="18"/>
                <w:szCs w:val="18"/>
              </w:rPr>
            </w:pPr>
          </w:p>
          <w:p w:rsidR="003B5BD2" w:rsidRDefault="003B5BD2" w:rsidP="003B5BD2">
            <w:pPr>
              <w:tabs>
                <w:tab w:val="left" w:pos="284"/>
              </w:tabs>
              <w:suppressAutoHyphens/>
              <w:rPr>
                <w:rFonts w:cs="Arial"/>
                <w:color w:val="000000"/>
                <w:sz w:val="18"/>
                <w:szCs w:val="18"/>
              </w:rPr>
            </w:pPr>
          </w:p>
          <w:p w:rsidR="003B5BD2" w:rsidRDefault="003B5BD2" w:rsidP="003B5BD2">
            <w:pPr>
              <w:tabs>
                <w:tab w:val="left" w:pos="284"/>
              </w:tabs>
              <w:suppressAutoHyphens/>
              <w:spacing w:before="60" w:after="120"/>
              <w:rPr>
                <w:rFonts w:cs="Arial"/>
                <w:color w:val="000000"/>
                <w:sz w:val="18"/>
                <w:szCs w:val="18"/>
              </w:rPr>
            </w:pPr>
          </w:p>
          <w:p w:rsidR="003B5BD2" w:rsidRPr="002A6993" w:rsidRDefault="003B5BD2" w:rsidP="003B5BD2">
            <w:pPr>
              <w:tabs>
                <w:tab w:val="left" w:pos="284"/>
              </w:tabs>
              <w:suppressAutoHyphens/>
              <w:spacing w:before="60" w:after="12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5BD2" w:rsidRPr="00A55D00" w:rsidRDefault="003B5BD2" w:rsidP="003B5BD2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5BD2" w:rsidRPr="00A55D00" w:rsidRDefault="003B5BD2" w:rsidP="003B5BD2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5BD2" w:rsidRPr="00A55D00" w:rsidRDefault="003B5BD2" w:rsidP="003B5BD2">
            <w:pPr>
              <w:snapToGrid w:val="0"/>
              <w:spacing w:before="120" w:after="60"/>
              <w:ind w:left="57"/>
              <w:rPr>
                <w:rFonts w:cs="Arial"/>
                <w:b/>
                <w:bCs/>
                <w:iCs/>
                <w:color w:val="000080"/>
                <w:sz w:val="20"/>
              </w:rPr>
            </w:pPr>
          </w:p>
        </w:tc>
      </w:tr>
      <w:tr w:rsidR="00D42A95" w:rsidRPr="00A55D00" w:rsidTr="00DA04A6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D42A95" w:rsidRPr="005E17E1" w:rsidRDefault="00D42A95" w:rsidP="00D42A95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D42A95" w:rsidRDefault="00D42A95" w:rsidP="00D42A95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D42A95" w:rsidRPr="00F36D06" w:rsidRDefault="00D42A95" w:rsidP="00D42A95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D42A95" w:rsidRDefault="00D42A95" w:rsidP="00D42A95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24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Hazardous</w:t>
            </w:r>
          </w:p>
          <w:p w:rsidR="00D42A95" w:rsidRDefault="00D42A95" w:rsidP="00D42A95">
            <w:pPr>
              <w:tabs>
                <w:tab w:val="left" w:pos="227"/>
              </w:tabs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D42A95" w:rsidRPr="003B5BD2" w:rsidRDefault="00D42A95" w:rsidP="00D42A95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airborne toxic wood dust particulates?</w:t>
            </w:r>
          </w:p>
          <w:p w:rsidR="00D42A95" w:rsidRPr="002568E6" w:rsidRDefault="00D42A95" w:rsidP="00D42A95">
            <w:pPr>
              <w:spacing w:before="60" w:after="12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A95" w:rsidRPr="002A6993" w:rsidRDefault="00D42A95" w:rsidP="00D42A95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cordless power tools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42A95" w:rsidRPr="00A55D00" w:rsidRDefault="00D42A95" w:rsidP="00D42A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2A95" w:rsidRPr="00A55D00" w:rsidRDefault="00D42A95" w:rsidP="00D42A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2A95" w:rsidRPr="00BD537E" w:rsidRDefault="00D42A95" w:rsidP="00D42A95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D42A95" w:rsidRPr="00A55D00" w:rsidTr="00685DC3">
        <w:trPr>
          <w:cantSplit/>
          <w:trHeight w:val="446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42A95" w:rsidRPr="005E17E1" w:rsidRDefault="00D42A95" w:rsidP="00D42A95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A95" w:rsidRPr="006D497C" w:rsidRDefault="00D42A95" w:rsidP="00D42A95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cordless power tools and charger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register.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42A95" w:rsidRPr="00A55D00" w:rsidRDefault="00D42A95" w:rsidP="00D42A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42A95" w:rsidRPr="00A55D00" w:rsidRDefault="00D42A95" w:rsidP="00D42A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42A95" w:rsidRPr="00BD537E" w:rsidRDefault="00D42A95" w:rsidP="00D42A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870DE9" w:rsidRPr="00A55D00" w:rsidTr="00685DC3">
        <w:trPr>
          <w:cantSplit/>
          <w:trHeight w:val="51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70DE9" w:rsidRPr="005E17E1" w:rsidRDefault="00870DE9" w:rsidP="00870DE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DE9" w:rsidRPr="002A6993" w:rsidRDefault="00870DE9" w:rsidP="00870DE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materials, toxic dusts and fumes resulting from this metal cutting process are monitored and managed.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70DE9" w:rsidRPr="009F6768" w:rsidRDefault="00870DE9" w:rsidP="00870DE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Air quality monitoring by Supervisor. Dust extraction and air filter used as required</w:t>
            </w:r>
          </w:p>
        </w:tc>
      </w:tr>
      <w:tr w:rsidR="00870DE9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70DE9" w:rsidRPr="005E17E1" w:rsidRDefault="00870DE9" w:rsidP="00870DE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DE9" w:rsidRDefault="00870DE9" w:rsidP="00870DE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members training is provided to minimise exposure to these hazards.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70DE9" w:rsidRDefault="00870DE9" w:rsidP="00870DE9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870DE9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70DE9" w:rsidRPr="005E17E1" w:rsidRDefault="00870DE9" w:rsidP="00870DE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9" w:rsidRPr="004B1F6D" w:rsidRDefault="00870DE9" w:rsidP="00870DE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870DE9" w:rsidRDefault="00870DE9" w:rsidP="00870DE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70DE9" w:rsidRPr="00D42A95" w:rsidRDefault="00870DE9" w:rsidP="00870DE9">
            <w:pPr>
              <w:tabs>
                <w:tab w:val="left" w:pos="299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DE9" w:rsidRPr="00A55D00" w:rsidRDefault="00870DE9" w:rsidP="00870DE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DE9" w:rsidRPr="00A55D00" w:rsidRDefault="00870DE9" w:rsidP="00870DE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DE9" w:rsidRPr="00BD537E" w:rsidRDefault="00870DE9" w:rsidP="00870DE9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provided. As per SOP requirements</w:t>
            </w:r>
          </w:p>
        </w:tc>
      </w:tr>
      <w:tr w:rsidR="00870DE9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870DE9" w:rsidRPr="005E17E1" w:rsidRDefault="00870DE9" w:rsidP="00870DE9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870DE9" w:rsidRPr="005E17E1" w:rsidRDefault="00870DE9" w:rsidP="00870DE9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870DE9" w:rsidRDefault="00870DE9" w:rsidP="00870DE9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870DE9" w:rsidRDefault="00870DE9" w:rsidP="00870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870DE9" w:rsidRPr="0025480F" w:rsidRDefault="00870DE9" w:rsidP="00870DE9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870DE9" w:rsidRPr="002A6993" w:rsidRDefault="00870DE9" w:rsidP="00870DE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0DE9" w:rsidRDefault="00870DE9" w:rsidP="00870DE9">
            <w:pPr>
              <w:spacing w:before="240" w:after="60"/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870DE9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870DE9" w:rsidRDefault="00870DE9" w:rsidP="00870DE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70DE9" w:rsidRPr="002A6993" w:rsidRDefault="00870DE9" w:rsidP="00870DE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70DE9" w:rsidRPr="00CB4036" w:rsidRDefault="00870DE9" w:rsidP="00870DE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870DE9" w:rsidRPr="00A55D00" w:rsidTr="001C518B">
        <w:trPr>
          <w:cantSplit/>
          <w:trHeight w:val="728"/>
        </w:trPr>
        <w:tc>
          <w:tcPr>
            <w:tcW w:w="2661" w:type="dxa"/>
            <w:vMerge/>
          </w:tcPr>
          <w:p w:rsidR="00870DE9" w:rsidRDefault="00870DE9" w:rsidP="00870DE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70DE9" w:rsidRPr="002A6993" w:rsidRDefault="00870DE9" w:rsidP="00870DE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70DE9" w:rsidRPr="00CB4036" w:rsidRDefault="00870DE9" w:rsidP="00870DE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870DE9" w:rsidRPr="00A55D00" w:rsidTr="00B92B6E">
        <w:trPr>
          <w:cantSplit/>
          <w:trHeight w:val="1523"/>
        </w:trPr>
        <w:tc>
          <w:tcPr>
            <w:tcW w:w="2661" w:type="dxa"/>
            <w:vMerge/>
          </w:tcPr>
          <w:p w:rsidR="00870DE9" w:rsidRDefault="00870DE9" w:rsidP="00870DE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870DE9" w:rsidRDefault="00870DE9" w:rsidP="00870DE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training is provided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with regard to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DE9" w:rsidRPr="00A55D00" w:rsidRDefault="00870DE9" w:rsidP="00870DE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DE9" w:rsidRPr="00CB4036" w:rsidRDefault="00870DE9" w:rsidP="00870DE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3B5BD2" w:rsidRDefault="003B5BD2" w:rsidP="00253231">
      <w:pPr>
        <w:rPr>
          <w:b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3B5BD2" w:rsidRDefault="003B5BD2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917AC" w:rsidRPr="00047F53" w:rsidRDefault="008917AC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lastRenderedPageBreak/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D306CE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D306CE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2633D">
              <w:rPr>
                <w:rFonts w:cs="Arial"/>
                <w:b/>
                <w:color w:val="000080"/>
                <w:sz w:val="22"/>
              </w:rPr>
            </w:r>
            <w:r w:rsidR="0012633D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2633D">
              <w:rPr>
                <w:rFonts w:cs="Arial"/>
                <w:b/>
                <w:color w:val="000080"/>
                <w:sz w:val="22"/>
              </w:rPr>
            </w:r>
            <w:r w:rsidR="0012633D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2633D">
              <w:rPr>
                <w:rFonts w:cs="Arial"/>
                <w:b/>
                <w:color w:val="000080"/>
                <w:sz w:val="22"/>
              </w:rPr>
            </w:r>
            <w:r w:rsidR="0012633D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D306CE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92B6E" w:rsidRDefault="00B92B6E"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306CE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306CE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306CE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306CE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</w:r>
            <w:r w:rsidR="0012633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2E250D" w:rsidRDefault="002E250D" w:rsidP="00967C17">
      <w:pPr>
        <w:rPr>
          <w:noProof/>
        </w:rPr>
      </w:pPr>
    </w:p>
    <w:p w:rsidR="002E250D" w:rsidRDefault="002E250D" w:rsidP="00967C17">
      <w:pPr>
        <w:rPr>
          <w:noProof/>
        </w:rPr>
      </w:pPr>
    </w:p>
    <w:p w:rsidR="002E250D" w:rsidRPr="002A5F92" w:rsidRDefault="002E250D" w:rsidP="002E250D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2E250D" w:rsidRPr="002A5F92" w:rsidRDefault="002E250D" w:rsidP="002E250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2E250D" w:rsidRPr="002A5F92" w:rsidRDefault="002E250D" w:rsidP="002E250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11BFFA15" wp14:editId="0CE9B573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7CE2AAA1" wp14:editId="1EB8E8FD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0D" w:rsidRDefault="002E250D" w:rsidP="002E250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2E250D" w:rsidRDefault="002E250D" w:rsidP="002E250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2E250D" w:rsidRDefault="002E250D" w:rsidP="00967C17">
      <w:pPr>
        <w:rPr>
          <w:noProof/>
        </w:rPr>
      </w:pPr>
    </w:p>
    <w:sectPr w:rsidR="002E250D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7C" w:rsidRDefault="001F507C">
      <w:r>
        <w:separator/>
      </w:r>
    </w:p>
  </w:endnote>
  <w:endnote w:type="continuationSeparator" w:id="0">
    <w:p w:rsidR="001F507C" w:rsidRDefault="001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2E250D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2E250D" w:rsidRPr="00FF7507" w:rsidRDefault="002E250D" w:rsidP="002E250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2E250D" w:rsidRPr="00FF7507" w:rsidRDefault="002E250D" w:rsidP="002E250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2E250D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2E250D" w:rsidRPr="00FF7507" w:rsidRDefault="002E250D" w:rsidP="002E250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2E250D" w:rsidRPr="00FF7507" w:rsidRDefault="002E250D" w:rsidP="002E250D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2E250D" w:rsidRPr="00FF7507" w:rsidRDefault="002E250D" w:rsidP="002E250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2E250D" w:rsidRPr="00FF7507" w:rsidRDefault="002E250D" w:rsidP="002E250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2E250D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2E250D" w:rsidRPr="00FF7507" w:rsidRDefault="002E250D" w:rsidP="002E250D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2E250D" w:rsidRPr="00FF7507" w:rsidRDefault="002E250D" w:rsidP="002E250D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2E250D" w:rsidRPr="00DC1FE1" w:rsidRDefault="002E250D" w:rsidP="002E250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2E250D" w:rsidRDefault="002E250D" w:rsidP="002E250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1F507C" w:rsidRPr="002E250D" w:rsidRDefault="001F507C" w:rsidP="002E2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7C" w:rsidRDefault="001F507C">
      <w:r>
        <w:separator/>
      </w:r>
    </w:p>
  </w:footnote>
  <w:footnote w:type="continuationSeparator" w:id="0">
    <w:p w:rsidR="001F507C" w:rsidRDefault="001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077B1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1228A"/>
    <w:multiLevelType w:val="hybridMultilevel"/>
    <w:tmpl w:val="EBACB0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D395F"/>
    <w:multiLevelType w:val="hybridMultilevel"/>
    <w:tmpl w:val="42029996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393B7C"/>
    <w:multiLevelType w:val="hybridMultilevel"/>
    <w:tmpl w:val="A2703888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21"/>
  </w:num>
  <w:num w:numId="5">
    <w:abstractNumId w:val="31"/>
  </w:num>
  <w:num w:numId="6">
    <w:abstractNumId w:val="2"/>
  </w:num>
  <w:num w:numId="7">
    <w:abstractNumId w:val="16"/>
  </w:num>
  <w:num w:numId="8">
    <w:abstractNumId w:val="22"/>
  </w:num>
  <w:num w:numId="9">
    <w:abstractNumId w:val="33"/>
  </w:num>
  <w:num w:numId="10">
    <w:abstractNumId w:val="12"/>
  </w:num>
  <w:num w:numId="11">
    <w:abstractNumId w:val="32"/>
  </w:num>
  <w:num w:numId="12">
    <w:abstractNumId w:val="27"/>
  </w:num>
  <w:num w:numId="13">
    <w:abstractNumId w:val="4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9"/>
  </w:num>
  <w:num w:numId="17">
    <w:abstractNumId w:val="7"/>
  </w:num>
  <w:num w:numId="18">
    <w:abstractNumId w:val="14"/>
  </w:num>
  <w:num w:numId="19">
    <w:abstractNumId w:val="15"/>
  </w:num>
  <w:num w:numId="20">
    <w:abstractNumId w:val="17"/>
  </w:num>
  <w:num w:numId="21">
    <w:abstractNumId w:val="10"/>
  </w:num>
  <w:num w:numId="22">
    <w:abstractNumId w:val="25"/>
  </w:num>
  <w:num w:numId="23">
    <w:abstractNumId w:val="34"/>
  </w:num>
  <w:num w:numId="24">
    <w:abstractNumId w:val="6"/>
  </w:num>
  <w:num w:numId="25">
    <w:abstractNumId w:val="9"/>
  </w:num>
  <w:num w:numId="26">
    <w:abstractNumId w:val="30"/>
  </w:num>
  <w:num w:numId="27">
    <w:abstractNumId w:val="26"/>
  </w:num>
  <w:num w:numId="28">
    <w:abstractNumId w:val="0"/>
  </w:num>
  <w:num w:numId="29">
    <w:abstractNumId w:val="11"/>
  </w:num>
  <w:num w:numId="30">
    <w:abstractNumId w:val="28"/>
  </w:num>
  <w:num w:numId="31">
    <w:abstractNumId w:val="5"/>
  </w:num>
  <w:num w:numId="32">
    <w:abstractNumId w:val="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9"/>
  </w:num>
  <w:num w:numId="3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345B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2633D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1F507C"/>
    <w:rsid w:val="0020153E"/>
    <w:rsid w:val="00201FA4"/>
    <w:rsid w:val="0020382A"/>
    <w:rsid w:val="002041CD"/>
    <w:rsid w:val="0020514C"/>
    <w:rsid w:val="002059BD"/>
    <w:rsid w:val="00205A8C"/>
    <w:rsid w:val="00207214"/>
    <w:rsid w:val="00211332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250D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228B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B5BD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4A9C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5DC3"/>
    <w:rsid w:val="006864B6"/>
    <w:rsid w:val="00690561"/>
    <w:rsid w:val="00692EB0"/>
    <w:rsid w:val="00694B6A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5AF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2C9C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4EC"/>
    <w:rsid w:val="00811B00"/>
    <w:rsid w:val="00813D40"/>
    <w:rsid w:val="00814F90"/>
    <w:rsid w:val="008224A7"/>
    <w:rsid w:val="008225C1"/>
    <w:rsid w:val="00823BAC"/>
    <w:rsid w:val="008320E4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0DE9"/>
    <w:rsid w:val="00871843"/>
    <w:rsid w:val="008745EF"/>
    <w:rsid w:val="00874805"/>
    <w:rsid w:val="008753D3"/>
    <w:rsid w:val="00877E3E"/>
    <w:rsid w:val="00883017"/>
    <w:rsid w:val="00886670"/>
    <w:rsid w:val="008868DB"/>
    <w:rsid w:val="008917AC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4C0C"/>
    <w:rsid w:val="008D5311"/>
    <w:rsid w:val="008D7FD5"/>
    <w:rsid w:val="008E0E8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44B1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03FD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EB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0F98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A1DD4"/>
    <w:rsid w:val="00AA1F4F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6CE"/>
    <w:rsid w:val="00D30FA1"/>
    <w:rsid w:val="00D33BBE"/>
    <w:rsid w:val="00D33C2A"/>
    <w:rsid w:val="00D3499F"/>
    <w:rsid w:val="00D353AF"/>
    <w:rsid w:val="00D3641A"/>
    <w:rsid w:val="00D40ACB"/>
    <w:rsid w:val="00D41DDB"/>
    <w:rsid w:val="00D42A95"/>
    <w:rsid w:val="00D44DFC"/>
    <w:rsid w:val="00D455E6"/>
    <w:rsid w:val="00D45EF8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2F58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DAA"/>
    <w:rsid w:val="00ED3C5E"/>
    <w:rsid w:val="00ED4CC4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51FA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6A4FB6E4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link w:val="BodyTextChar"/>
    <w:uiPriority w:val="99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14EC"/>
    <w:rPr>
      <w:rFonts w:ascii="Arial" w:eastAsia="Times" w:hAnsi="Arial"/>
      <w:sz w:val="24"/>
    </w:rPr>
  </w:style>
  <w:style w:type="character" w:customStyle="1" w:styleId="FooterChar">
    <w:name w:val="Footer Char"/>
    <w:basedOn w:val="DefaultParagraphFont"/>
    <w:link w:val="Footer"/>
    <w:rsid w:val="00211332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D21A-F4E9-42FA-8A75-CCFA640A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5E3EA-AB37-4A52-B033-9E9748B67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5DD8B-57A8-4DA8-B750-E74EC70CD96B}">
  <ds:schemaRefs>
    <ds:schemaRef ds:uri="http://schemas.microsoft.com/office/2006/metadata/properties"/>
    <ds:schemaRef ds:uri="http://schemas.microsoft.com/office/infopath/2007/PartnerControls"/>
    <ds:schemaRef ds:uri="f114f5df-7614-43c1-ba8e-2daa6e53710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E6A23D-5284-4982-9338-1C6FBE78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2279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 -  Plant &amp; Equipment Risk Assessment</vt:lpstr>
    </vt:vector>
  </TitlesOfParts>
  <Company>DETE, Education Queensland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Sander various</dc:title>
  <dc:creator>CLARK, Brian</dc:creator>
  <cp:keywords>DETE, Education Queensland</cp:keywords>
  <cp:lastModifiedBy>Andrei Maberley</cp:lastModifiedBy>
  <cp:revision>16</cp:revision>
  <cp:lastPrinted>2011-10-11T01:20:00Z</cp:lastPrinted>
  <dcterms:created xsi:type="dcterms:W3CDTF">2020-02-08T02:20:00Z</dcterms:created>
  <dcterms:modified xsi:type="dcterms:W3CDTF">2020-10-12T04:51:00Z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