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1850390</wp:posOffset>
                </wp:positionH>
                <wp:positionV relativeFrom="paragraph">
                  <wp:posOffset>426085</wp:posOffset>
                </wp:positionV>
                <wp:extent cx="2872596" cy="5334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58EF" w:rsidRPr="00ED297B" w:rsidRDefault="00D258EF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RECIPROCATING SAW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  <w:r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(Cordless)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5.7pt;margin-top:33.55pt;width:226.2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wmNQIAAGEEAAAOAAAAZHJzL2Uyb0RvYy54bWysVE1v2zAMvQ/YfxB0X5zvtkGcImuRYUDR&#10;FkiGnhVZTgzYoiYpsbNfvyfZSYNup2EXmSIpinzvyfP7pirZUVlXkE75oNfnTGlJWaF3Kf+xWX25&#10;5cx5oTNRklYpPynH7xefP81rM1ND2lOZKctQRLtZbVK+997MksTJvaqE65FRGsGcbCU8tnaXZFbU&#10;qF6VybDfnyY12cxYkso5eB/bIF/E+nmupH/Jc6c8K1OO3nxcbVy3YU0WczHbWWH2hezaEP/QRSUK&#10;jUsvpR6FF+xgiz9KVYW05Cj3PUlVQnleSBVnwDSD/odp1nthVJwF4Dhzgcn9v7Ly+fhqWZGBuxFn&#10;WlTgaKMaz75Sw+ACPrVxM6StDRJ9Az9yz34HZxi7yW0VvhiIIQ6kTxd0QzUJ5/D2Zji5m3ImEZuM&#10;RuN+hD95P22s898UVSwYKbdgL4Iqjk/OoxOknlPCZZpWRVlGBkvN6pRPR5N+PHCJ4ESpQ66KWujK&#10;hInazoPlm23Tjbml7IQpLbU6cUauCrTyJJx/FRbCwGAQu3/BkpeEK6mzONuT/fU3f8gHX4hyVkNo&#10;KXc/D8IqzsrvGkzeDcbjoMy4GU9uhtjY68j2OqIP1QNBywM8KyOjGfJ9eTZzS9Ub3sQy3IqQ0BJ3&#10;p9yfzQffyh9vSqrlMiZBi0b4J702MpQOgAWgN82bsKZjw4PHZzpLUsw+kNLmtrQsD57yIjIWAG5R&#10;BX1hAx1HIrs3Fx7K9T5mvf8ZFr8BAAD//wMAUEsDBBQABgAIAAAAIQAcRt1P4QAAAAoBAAAPAAAA&#10;ZHJzL2Rvd25yZXYueG1sTI/LTsMwEEX3SPyDNUjsqOPQFyFOVUWqkBAsWrph58TTJMKPELtt6Ncz&#10;XcFyNEf3npuvRmvYCYfQeSdBTBJg6GqvO9dI2H9sHpbAQlROK+MdSvjBAKvi9iZXmfZnt8XTLjaM&#10;QlzIlIQ2xj7jPNQtWhUmvkdHv4MfrIp0Dg3XgzpTuDU8TZI5t6pz1NCqHssW66/d0Up4LTfvalul&#10;dnkx5cvbYd1/7z9nUt7fjetnYBHH+AfDVZ/UoSCnyh+dDsxISJ/ElFAJ84UARsBi+khbKiJnQgAv&#10;cv5/QvELAAD//wMAUEsBAi0AFAAGAAgAAAAhALaDOJL+AAAA4QEAABMAAAAAAAAAAAAAAAAAAAAA&#10;AFtDb250ZW50X1R5cGVzXS54bWxQSwECLQAUAAYACAAAACEAOP0h/9YAAACUAQAACwAAAAAAAAAA&#10;AAAAAAAvAQAAX3JlbHMvLnJlbHNQSwECLQAUAAYACAAAACEAtBAsJjUCAABhBAAADgAAAAAAAAAA&#10;AAAAAAAuAgAAZHJzL2Uyb0RvYy54bWxQSwECLQAUAAYACAAAACEAHEbdT+EAAAAKAQAADwAAAAAA&#10;AAAAAAAAAACPBAAAZHJzL2Rvd25yZXYueG1sUEsFBgAAAAAEAAQA8wAAAJ0FAAAAAA==&#10;" filled="f" stroked="f" strokeweight=".5pt">
                <v:textbox>
                  <w:txbxContent>
                    <w:p w:rsidR="00D258EF" w:rsidRPr="00ED297B" w:rsidRDefault="00D258EF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RECIPROCATING SAW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  <w:r>
                        <w:rPr>
                          <w:i/>
                          <w:color w:val="FFFFFF" w:themeColor="background1"/>
                          <w:szCs w:val="39"/>
                        </w:rPr>
                        <w:t>(Cordless)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251">
        <w:rPr>
          <w:noProof/>
          <w:sz w:val="40"/>
          <w:szCs w:val="40"/>
          <w:lang w:eastAsia="zh-TW"/>
        </w:rPr>
        <w:t>w</w:t>
      </w:r>
      <w:r w:rsidR="003728BF">
        <w:rPr>
          <w:noProof/>
          <w:sz w:val="40"/>
          <w:szCs w:val="40"/>
          <w:lang w:eastAsia="zh-TW"/>
        </w:rPr>
        <w:t>w</w: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17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6A45A4" w:rsidP="00C3146F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10"/>
          <w:szCs w:val="10"/>
          <w:lang w:eastAsia="zh-TW"/>
        </w:rPr>
        <w:drawing>
          <wp:anchor distT="0" distB="0" distL="114300" distR="114300" simplePos="0" relativeHeight="251667968" behindDoc="1" locked="0" layoutInCell="1" allowOverlap="1" wp14:anchorId="16D8D89A" wp14:editId="17FA4664">
            <wp:simplePos x="0" y="0"/>
            <wp:positionH relativeFrom="margin">
              <wp:posOffset>4558030</wp:posOffset>
            </wp:positionH>
            <wp:positionV relativeFrom="paragraph">
              <wp:posOffset>165100</wp:posOffset>
            </wp:positionV>
            <wp:extent cx="1906270" cy="1122680"/>
            <wp:effectExtent l="0" t="0" r="0" b="0"/>
            <wp:wrapTight wrapText="bothSides">
              <wp:wrapPolygon edited="0">
                <wp:start x="0" y="0"/>
                <wp:lineTo x="0" y="21258"/>
                <wp:lineTo x="21442" y="21258"/>
                <wp:lineTo x="21442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ipricating Saw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C3146F" w:rsidRPr="00E82E98" w:rsidRDefault="00C3146F" w:rsidP="00C3146F">
      <w:pPr>
        <w:rPr>
          <w:color w:val="FF0000"/>
          <w:sz w:val="20"/>
        </w:rPr>
      </w:pPr>
      <w:r w:rsidRPr="00E82E98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733651" w:rsidRPr="00733651">
        <w:rPr>
          <w:b/>
          <w:color w:val="FF0000"/>
          <w:sz w:val="20"/>
        </w:rPr>
        <w:t>State Library of Queensland</w:t>
      </w:r>
      <w:r w:rsidRPr="00E82E98">
        <w:rPr>
          <w:b/>
          <w:color w:val="FF0000"/>
          <w:sz w:val="20"/>
        </w:rPr>
        <w:t xml:space="preserve"> </w:t>
      </w:r>
      <w:r w:rsidR="00D274C1">
        <w:rPr>
          <w:b/>
          <w:color w:val="FF0000"/>
          <w:sz w:val="20"/>
        </w:rPr>
        <w:t xml:space="preserve">(State Library) </w:t>
      </w:r>
      <w:r w:rsidRPr="00E82E98">
        <w:rPr>
          <w:b/>
          <w:color w:val="FF0000"/>
          <w:sz w:val="20"/>
        </w:rPr>
        <w:t>Fabrication Lab</w:t>
      </w:r>
      <w:r w:rsidRPr="00E82E98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C3146F" w:rsidRDefault="00C3146F" w:rsidP="00C3146F">
      <w:pPr>
        <w:tabs>
          <w:tab w:val="left" w:pos="720"/>
        </w:tabs>
        <w:spacing w:before="120"/>
        <w:rPr>
          <w:rFonts w:eastAsia="SimSun" w:cs="Arial"/>
          <w:color w:val="FF0000"/>
          <w:sz w:val="20"/>
          <w:lang w:eastAsia="zh-CN"/>
        </w:rPr>
      </w:pPr>
      <w:r w:rsidRPr="00E82E98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E82E98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E82E98">
        <w:rPr>
          <w:rFonts w:eastAsia="SimSun" w:cs="Arial"/>
          <w:color w:val="FF0000"/>
          <w:sz w:val="20"/>
          <w:lang w:eastAsia="zh-CN"/>
        </w:rPr>
        <w:t xml:space="preserve"> (</w:t>
      </w:r>
      <w:r w:rsidRPr="00E82E98">
        <w:rPr>
          <w:rFonts w:eastAsia="SimSun" w:cs="Arial"/>
          <w:b/>
          <w:color w:val="FF0000"/>
          <w:sz w:val="20"/>
          <w:lang w:eastAsia="zh-CN"/>
        </w:rPr>
        <w:t>SOP</w:t>
      </w:r>
      <w:r w:rsidRPr="00E82E98">
        <w:rPr>
          <w:rFonts w:eastAsia="SimSun" w:cs="Arial"/>
          <w:color w:val="FF0000"/>
          <w:sz w:val="20"/>
          <w:lang w:eastAsia="zh-CN"/>
        </w:rPr>
        <w:t xml:space="preserve">) for information regarding the safe usage and checklist for this equipment. </w:t>
      </w:r>
    </w:p>
    <w:p w:rsidR="00C3146F" w:rsidRPr="00C3146F" w:rsidRDefault="00C3146F" w:rsidP="00C314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C3146F">
              <w:rPr>
                <w:rFonts w:cs="Arial"/>
                <w:b/>
                <w:color w:val="000080"/>
                <w:sz w:val="20"/>
              </w:rPr>
              <w:t>Reciprocating Saw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C3146F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C3146F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C3146F">
              <w:rPr>
                <w:rFonts w:cs="Arial"/>
                <w:b/>
                <w:color w:val="000080"/>
                <w:sz w:val="20"/>
              </w:rPr>
              <w:t>02/0/2020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C3146F">
              <w:rPr>
                <w:rFonts w:cs="Arial"/>
                <w:b/>
                <w:bCs/>
                <w:iCs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6A45A4" w:rsidRPr="00A55D00" w:rsidTr="00EB0815">
        <w:trPr>
          <w:trHeight w:val="3301"/>
        </w:trPr>
        <w:tc>
          <w:tcPr>
            <w:tcW w:w="562" w:type="dxa"/>
            <w:shd w:val="clear" w:color="auto" w:fill="auto"/>
            <w:vAlign w:val="center"/>
          </w:tcPr>
          <w:p w:rsidR="006A45A4" w:rsidRDefault="006A45A4" w:rsidP="006A45A4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6A45A4" w:rsidRPr="002A4FBD" w:rsidRDefault="006A45A4" w:rsidP="006A45A4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6A45A4" w:rsidRPr="00961861" w:rsidRDefault="006A45A4" w:rsidP="006A45A4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using the correct blade to cut through materials that are known to be safe, non-toxic and structurally stable.</w:t>
            </w:r>
          </w:p>
          <w:p w:rsidR="006A45A4" w:rsidRDefault="006A45A4" w:rsidP="006A45A4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cutting through various materials without applying any excessive pressure that could cause the blade to slow or stop resulting in dangerous kickback.</w:t>
            </w:r>
          </w:p>
          <w:p w:rsidR="006A45A4" w:rsidRDefault="006A45A4" w:rsidP="006A45A4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cutting through materials that are securely and firmly held to prevent blade chatter and dangerous kickback.</w:t>
            </w:r>
          </w:p>
          <w:p w:rsidR="006A45A4" w:rsidRPr="00CD34D8" w:rsidRDefault="006A45A4" w:rsidP="00C3146F">
            <w:pPr>
              <w:tabs>
                <w:tab w:val="left" w:pos="284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285" w:type="dxa"/>
            <w:vAlign w:val="center"/>
          </w:tcPr>
          <w:p w:rsidR="006A45A4" w:rsidRPr="001A22D5" w:rsidRDefault="006A45A4" w:rsidP="006A45A4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12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  <w:p w:rsidR="006A45A4" w:rsidRPr="00A55D00" w:rsidRDefault="006A45A4" w:rsidP="00C3146F">
            <w:pPr>
              <w:spacing w:before="60" w:after="120"/>
              <w:ind w:left="300"/>
              <w:rPr>
                <w:sz w:val="20"/>
              </w:rPr>
            </w:pPr>
          </w:p>
        </w:tc>
      </w:tr>
      <w:tr w:rsidR="006A45A4" w:rsidRPr="00A55D00" w:rsidTr="00EB0815">
        <w:trPr>
          <w:trHeight w:val="3107"/>
        </w:trPr>
        <w:tc>
          <w:tcPr>
            <w:tcW w:w="562" w:type="dxa"/>
            <w:shd w:val="clear" w:color="auto" w:fill="auto"/>
            <w:vAlign w:val="center"/>
          </w:tcPr>
          <w:p w:rsidR="006A45A4" w:rsidRDefault="006A45A4" w:rsidP="006A45A4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6A45A4" w:rsidRPr="002A4FBD" w:rsidRDefault="006A45A4" w:rsidP="006A45A4">
            <w:pPr>
              <w:rPr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High</w:t>
            </w:r>
          </w:p>
        </w:tc>
        <w:tc>
          <w:tcPr>
            <w:tcW w:w="4961" w:type="dxa"/>
            <w:vAlign w:val="center"/>
          </w:tcPr>
          <w:p w:rsidR="006A45A4" w:rsidRPr="00961861" w:rsidRDefault="006A45A4" w:rsidP="006A45A4">
            <w:pPr>
              <w:numPr>
                <w:ilvl w:val="0"/>
                <w:numId w:val="28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20"/>
              </w:rPr>
            </w:pPr>
            <w:r w:rsidRPr="00961861">
              <w:rPr>
                <w:color w:val="000000"/>
                <w:sz w:val="20"/>
              </w:rPr>
              <w:t xml:space="preserve">When </w:t>
            </w:r>
            <w:r>
              <w:rPr>
                <w:color w:val="000000"/>
                <w:sz w:val="20"/>
              </w:rPr>
              <w:t>cutting thicker materials that may require directional change or curves. This is possible but not recommended.</w:t>
            </w:r>
          </w:p>
          <w:p w:rsidR="006A45A4" w:rsidRDefault="006A45A4" w:rsidP="006A45A4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machining dense materials the c</w:t>
            </w:r>
            <w:r w:rsidRPr="00252D68">
              <w:rPr>
                <w:color w:val="000000"/>
                <w:sz w:val="20"/>
              </w:rPr>
              <w:t>utti</w:t>
            </w:r>
            <w:r>
              <w:rPr>
                <w:color w:val="000000"/>
                <w:sz w:val="20"/>
              </w:rPr>
              <w:t>ng blade</w:t>
            </w:r>
            <w:r w:rsidRPr="00252D68">
              <w:rPr>
                <w:color w:val="000000"/>
                <w:sz w:val="20"/>
              </w:rPr>
              <w:t xml:space="preserve"> may become blunt</w:t>
            </w:r>
            <w:r>
              <w:rPr>
                <w:color w:val="000000"/>
                <w:sz w:val="20"/>
              </w:rPr>
              <w:t xml:space="preserve"> quickly</w:t>
            </w:r>
            <w:r w:rsidRPr="00252D68">
              <w:rPr>
                <w:color w:val="000000"/>
                <w:sz w:val="20"/>
              </w:rPr>
              <w:t>, causing ex</w:t>
            </w:r>
            <w:r>
              <w:rPr>
                <w:color w:val="000000"/>
                <w:sz w:val="20"/>
              </w:rPr>
              <w:t>cessive friction, gripping and kickback.</w:t>
            </w:r>
          </w:p>
          <w:p w:rsidR="006A45A4" w:rsidRDefault="006A45A4" w:rsidP="006A45A4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cutting in awkward positions, at heights or through uncooperative materials the saw may be unexpectedly more difficult and dangerous to use.</w:t>
            </w:r>
          </w:p>
          <w:p w:rsidR="006A45A4" w:rsidRPr="00B429D5" w:rsidRDefault="00D6417D" w:rsidP="006A45A4">
            <w:pPr>
              <w:numPr>
                <w:ilvl w:val="0"/>
                <w:numId w:val="28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 w:rsidRPr="00D6417D">
              <w:rPr>
                <w:b/>
                <w:color w:val="000000"/>
                <w:sz w:val="20"/>
              </w:rPr>
              <w:t>NB</w:t>
            </w:r>
            <w:r w:rsidR="006A45A4" w:rsidRPr="00D6417D">
              <w:rPr>
                <w:b/>
                <w:color w:val="000000"/>
                <w:sz w:val="20"/>
              </w:rPr>
              <w:t>:</w:t>
            </w:r>
            <w:r w:rsidR="006A45A4">
              <w:rPr>
                <w:color w:val="000000"/>
                <w:sz w:val="20"/>
              </w:rPr>
              <w:t xml:space="preserve"> a reciprocating saw has no blade guard and no clutch-brake.</w:t>
            </w:r>
          </w:p>
        </w:tc>
        <w:tc>
          <w:tcPr>
            <w:tcW w:w="3285" w:type="dxa"/>
            <w:vAlign w:val="center"/>
          </w:tcPr>
          <w:p w:rsidR="006A45A4" w:rsidRPr="001A22D5" w:rsidRDefault="006A45A4" w:rsidP="006A45A4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120" w:line="240" w:lineRule="auto"/>
              <w:ind w:left="301" w:right="0"/>
            </w:pPr>
            <w:r>
              <w:t>A</w:t>
            </w:r>
            <w:r w:rsidRPr="001A22D5">
              <w:t xml:space="preserve"> </w:t>
            </w:r>
            <w:r w:rsidRPr="00A55D00">
              <w:rPr>
                <w:i/>
              </w:rPr>
              <w:t>Plant Risk Assessment</w:t>
            </w:r>
            <w:r w:rsidRPr="001A22D5">
              <w:t xml:space="preserve"> is required to be completed.</w:t>
            </w:r>
          </w:p>
          <w:p w:rsidR="006A45A4" w:rsidRPr="001A22D5" w:rsidRDefault="00C3146F" w:rsidP="006A45A4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120" w:line="240" w:lineRule="auto"/>
              <w:ind w:left="301" w:right="0"/>
            </w:pPr>
            <w:r>
              <w:t xml:space="preserve">A JSA for </w:t>
            </w:r>
            <w:r w:rsidR="006A45A4" w:rsidRPr="001A22D5">
              <w:t>this activity is required.</w:t>
            </w:r>
          </w:p>
          <w:p w:rsidR="006A45A4" w:rsidRPr="001A22D5" w:rsidRDefault="006A45A4" w:rsidP="00C3146F">
            <w:pPr>
              <w:pStyle w:val="BlockText"/>
              <w:spacing w:before="60" w:after="60" w:line="240" w:lineRule="auto"/>
              <w:ind w:left="-59" w:right="0"/>
            </w:pP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C3146F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bookmarkStart w:id="2" w:name="_GoBack"/>
            <w:bookmarkEnd w:id="2"/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D274C1">
              <w:rPr>
                <w:rFonts w:cs="Arial"/>
                <w:bCs/>
                <w:iCs/>
                <w:sz w:val="20"/>
              </w:rPr>
              <w:t>State Library</w:t>
            </w:r>
            <w:r w:rsidR="00C3146F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C3146F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C3146F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C3146F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 w:rsidR="00D274C1">
              <w:rPr>
                <w:bCs/>
                <w:iCs/>
                <w:color w:val="000080"/>
              </w:rPr>
              <w:t xml:space="preserve">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C3146F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274C1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C3146F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Pr="00745947">
              <w:rPr>
                <w:bCs/>
                <w:iCs/>
                <w:color w:val="000000"/>
                <w:sz w:val="20"/>
              </w:rPr>
              <w:t>A</w:t>
            </w:r>
            <w:r w:rsidR="00C3146F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C3146F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D274C1">
              <w:rPr>
                <w:rFonts w:cs="Arial"/>
                <w:bCs/>
                <w:iCs/>
                <w:sz w:val="20"/>
              </w:rPr>
              <w:t>State Library</w:t>
            </w:r>
            <w:r w:rsidR="00C3146F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C3146F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C3146F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274C1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C3146F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274C1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proofErr w:type="gramStart"/>
            <w:r w:rsidR="00C3146F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CF6E0A">
              <w:rPr>
                <w:rFonts w:cs="Arial"/>
                <w:bCs/>
                <w:iCs/>
                <w:sz w:val="20"/>
              </w:rPr>
              <w:t>Will</w:t>
            </w:r>
            <w:proofErr w:type="gramEnd"/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 w:rsidR="00C3146F">
              <w:rPr>
                <w:rFonts w:cs="Arial"/>
                <w:bCs/>
                <w:iCs/>
                <w:sz w:val="20"/>
              </w:rPr>
              <w:t>member</w:t>
            </w:r>
            <w:r w:rsidRPr="00CF6E0A">
              <w:rPr>
                <w:rFonts w:cs="Arial"/>
                <w:bCs/>
                <w:iCs/>
                <w:sz w:val="20"/>
              </w:rPr>
              <w:t xml:space="preserve">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</w:t>
            </w:r>
            <w:proofErr w:type="gramStart"/>
            <w:r>
              <w:rPr>
                <w:rFonts w:cs="Arial"/>
                <w:bCs/>
                <w:iCs/>
                <w:sz w:val="20"/>
              </w:rPr>
              <w:t xml:space="preserve">managed  </w:t>
            </w:r>
            <w:r w:rsidRPr="00CF6E0A">
              <w:rPr>
                <w:rFonts w:cs="Arial"/>
                <w:bCs/>
                <w:iCs/>
                <w:sz w:val="20"/>
              </w:rPr>
              <w:t>(</w:t>
            </w:r>
            <w:proofErr w:type="gramEnd"/>
            <w:r w:rsidRPr="00CF6E0A">
              <w:rPr>
                <w:rFonts w:cs="Arial"/>
                <w:bCs/>
                <w:iCs/>
                <w:sz w:val="20"/>
              </w:rPr>
              <w:t>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C3146F" w:rsidRPr="00C3146F">
              <w:rPr>
                <w:rFonts w:cs="Arial"/>
                <w:b/>
                <w:color w:val="000080"/>
                <w:sz w:val="16"/>
                <w:szCs w:val="16"/>
              </w:rPr>
              <w:t>Only under direct supervision</w:t>
            </w:r>
            <w:r w:rsidR="00C3146F">
              <w:rPr>
                <w:rFonts w:cs="Arial"/>
                <w:b/>
                <w:color w:val="000080"/>
                <w:sz w:val="20"/>
              </w:rPr>
              <w:t xml:space="preserve"> 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C3146F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C3146F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C3146F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C3146F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color w:val="000000"/>
                <w:sz w:val="20"/>
              </w:rPr>
              <w:t>A process for recording student sa</w:t>
            </w:r>
            <w:r w:rsidR="00A06B6F">
              <w:rPr>
                <w:rFonts w:cs="Arial"/>
                <w:sz w:val="20"/>
              </w:rPr>
              <w:t>fety induction e.g. Student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C3146F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>
              <w:rPr>
                <w:rFonts w:cs="Arial"/>
                <w:color w:val="000000"/>
                <w:sz w:val="20"/>
              </w:rPr>
              <w:t xml:space="preserve">ITD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C3146F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C3146F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proofErr w:type="gramStart"/>
            <w:r w:rsidRPr="00A55D00">
              <w:rPr>
                <w:rFonts w:cs="Arial"/>
                <w:bCs/>
                <w:iCs/>
                <w:sz w:val="20"/>
              </w:rPr>
              <w:t>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>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C3146F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C3146F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C3146F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C3146F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C3146F" w:rsidRPr="00C3146F">
              <w:rPr>
                <w:rFonts w:cs="Arial"/>
                <w:b/>
                <w:color w:val="000080"/>
                <w:sz w:val="16"/>
                <w:szCs w:val="16"/>
              </w:rPr>
              <w:t>Supervision to assess safe working zone before commencing workings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1C518B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8B490B" w:rsidRPr="00A55D00" w:rsidTr="001C518B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8B490B" w:rsidRPr="005E17E1" w:rsidRDefault="008B490B" w:rsidP="008B490B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8B490B" w:rsidRPr="005E17E1" w:rsidRDefault="008B490B" w:rsidP="008B490B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8B490B" w:rsidRPr="00997FE4" w:rsidRDefault="008B490B" w:rsidP="008B490B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8B490B" w:rsidRPr="00B70012" w:rsidRDefault="008B490B" w:rsidP="008B490B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8B490B" w:rsidRDefault="008B490B" w:rsidP="008B490B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8B490B" w:rsidRPr="002A6993" w:rsidRDefault="008B490B" w:rsidP="008B490B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Striking</w:t>
            </w:r>
          </w:p>
          <w:p w:rsidR="008B490B" w:rsidRDefault="008B490B" w:rsidP="008B490B">
            <w:pPr>
              <w:pStyle w:val="BodyText"/>
              <w:keepNext/>
              <w:keepLines/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>piece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8B490B" w:rsidRPr="0030684D" w:rsidRDefault="008B490B" w:rsidP="008B490B">
            <w:pPr>
              <w:pStyle w:val="BodyText"/>
              <w:keepNext/>
              <w:keepLines/>
              <w:numPr>
                <w:ilvl w:val="0"/>
                <w:numId w:val="29"/>
              </w:numPr>
              <w:tabs>
                <w:tab w:val="left" w:pos="227"/>
              </w:tabs>
              <w:snapToGrid w:val="0"/>
              <w:spacing w:before="120" w:after="0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Cutting, Stabbing </w:t>
            </w:r>
          </w:p>
          <w:p w:rsidR="008B490B" w:rsidRPr="0030684D" w:rsidRDefault="008B490B" w:rsidP="008B490B">
            <w:pPr>
              <w:pStyle w:val="BodyText"/>
              <w:keepNext/>
              <w:keepLines/>
              <w:tabs>
                <w:tab w:val="left" w:pos="227"/>
              </w:tabs>
              <w:snapToGrid w:val="0"/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>and P</w:t>
            </w:r>
            <w:r w:rsidRPr="002A6993">
              <w:rPr>
                <w:b/>
                <w:sz w:val="20"/>
              </w:rPr>
              <w:t>uncturing</w:t>
            </w:r>
          </w:p>
          <w:p w:rsidR="008B490B" w:rsidRDefault="008B490B" w:rsidP="008B490B">
            <w:pPr>
              <w:spacing w:before="60"/>
              <w:rPr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Can anyone be cut, stabbed or punctured by </w:t>
            </w:r>
            <w:proofErr w:type="gramStart"/>
            <w:r w:rsidRPr="002A6993">
              <w:rPr>
                <w:rFonts w:cs="Arial"/>
                <w:sz w:val="18"/>
                <w:szCs w:val="18"/>
              </w:rPr>
              <w:t>coming into conta</w:t>
            </w:r>
            <w:r>
              <w:rPr>
                <w:rFonts w:cs="Arial"/>
                <w:sz w:val="18"/>
                <w:szCs w:val="18"/>
              </w:rPr>
              <w:t>ct with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:rsidR="008B490B" w:rsidRDefault="008B490B" w:rsidP="008B490B">
            <w:pPr>
              <w:spacing w:before="60"/>
              <w:rPr>
                <w:sz w:val="18"/>
                <w:szCs w:val="18"/>
              </w:rPr>
            </w:pPr>
          </w:p>
          <w:p w:rsidR="008B490B" w:rsidRDefault="008B490B" w:rsidP="008B490B">
            <w:pPr>
              <w:spacing w:before="60"/>
              <w:rPr>
                <w:sz w:val="18"/>
                <w:szCs w:val="18"/>
              </w:rPr>
            </w:pPr>
          </w:p>
          <w:p w:rsidR="008B490B" w:rsidRDefault="008B490B" w:rsidP="008B490B">
            <w:pPr>
              <w:spacing w:before="60"/>
              <w:rPr>
                <w:sz w:val="18"/>
                <w:szCs w:val="18"/>
              </w:rPr>
            </w:pPr>
          </w:p>
          <w:p w:rsidR="008B490B" w:rsidRDefault="008B490B" w:rsidP="008B490B">
            <w:pPr>
              <w:spacing w:before="60"/>
              <w:rPr>
                <w:sz w:val="18"/>
                <w:szCs w:val="18"/>
              </w:rPr>
            </w:pPr>
          </w:p>
          <w:p w:rsidR="008B490B" w:rsidRPr="002A6993" w:rsidRDefault="008B490B" w:rsidP="008B490B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saws, including all cordless reciprocating saws, are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8B490B" w:rsidRDefault="008B490B" w:rsidP="008B490B">
            <w:pPr>
              <w:snapToGrid w:val="0"/>
              <w:spacing w:before="360" w:after="60"/>
              <w:rPr>
                <w:b/>
                <w:color w:val="000080"/>
                <w:sz w:val="20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alternatives</w:t>
            </w:r>
          </w:p>
        </w:tc>
      </w:tr>
      <w:tr w:rsidR="008B490B" w:rsidRPr="00A55D00" w:rsidTr="001C518B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490B" w:rsidRPr="00A55D00" w:rsidRDefault="008B490B" w:rsidP="008B490B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necessary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all moving parts</w:t>
            </w:r>
            <w:r>
              <w:rPr>
                <w:rFonts w:cs="Arial"/>
                <w:color w:val="000000"/>
                <w:sz w:val="18"/>
                <w:szCs w:val="18"/>
              </w:rPr>
              <w:t>, particularly the oscillating blade.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the manufacturer’s standards</w:t>
            </w:r>
          </w:p>
        </w:tc>
      </w:tr>
      <w:tr w:rsidR="008B490B" w:rsidRPr="00A55D00" w:rsidTr="001C518B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490B" w:rsidRPr="00A55D00" w:rsidRDefault="008B490B" w:rsidP="008B490B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490B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member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safety induction and housekeeping procedures</w:t>
            </w:r>
          </w:p>
        </w:tc>
      </w:tr>
      <w:tr w:rsidR="008B490B" w:rsidRPr="00A55D00" w:rsidTr="001C518B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490B" w:rsidRPr="00A55D00" w:rsidRDefault="008B490B" w:rsidP="008B490B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Stored with equipment and in SOP folder</w:t>
            </w:r>
          </w:p>
        </w:tc>
      </w:tr>
      <w:tr w:rsidR="008B490B" w:rsidRPr="00A55D00" w:rsidTr="001C518B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490B" w:rsidRPr="00A55D00" w:rsidRDefault="008B490B" w:rsidP="008B490B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490B" w:rsidRPr="00F361FB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cordless power saws or their battery chargers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Standard </w:t>
            </w:r>
            <w:r w:rsidRPr="00112CF1">
              <w:rPr>
                <w:rFonts w:cs="Arial"/>
                <w:b/>
                <w:color w:val="000080"/>
                <w:sz w:val="16"/>
                <w:szCs w:val="16"/>
              </w:rPr>
              <w:t>LOTO procedures</w:t>
            </w:r>
          </w:p>
        </w:tc>
      </w:tr>
      <w:tr w:rsidR="008B490B" w:rsidRPr="00A55D00" w:rsidTr="001C518B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490B" w:rsidRPr="002A6993" w:rsidRDefault="008B490B" w:rsidP="008B490B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“Safe Working Zones” are clearly defined in all practical workspaces where the cordless reciprocating saw 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 assess and address requirements for safe working zone.</w:t>
            </w:r>
          </w:p>
        </w:tc>
      </w:tr>
      <w:tr w:rsidR="008B490B" w:rsidRPr="00A55D00" w:rsidTr="001C518B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490B" w:rsidRPr="002A6993" w:rsidRDefault="008B490B" w:rsidP="008B490B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SOP requirements </w:t>
            </w:r>
          </w:p>
        </w:tc>
      </w:tr>
      <w:tr w:rsidR="008B490B" w:rsidRPr="00A55D00" w:rsidTr="001C518B">
        <w:trPr>
          <w:cantSplit/>
          <w:trHeight w:val="6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490B" w:rsidRPr="002A6993" w:rsidRDefault="008B490B" w:rsidP="008B490B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490B" w:rsidRPr="004D22AE" w:rsidRDefault="008B490B" w:rsidP="008B490B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8B490B" w:rsidRDefault="008B490B" w:rsidP="008B490B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8B490B" w:rsidRDefault="008B490B" w:rsidP="008B490B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8B490B" w:rsidRDefault="008B490B" w:rsidP="008B490B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8B490B" w:rsidRPr="002A6993" w:rsidRDefault="008B490B" w:rsidP="008B490B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All PPE is provided as per SOP requirements  </w:t>
            </w:r>
          </w:p>
        </w:tc>
      </w:tr>
      <w:tr w:rsidR="008B490B" w:rsidRPr="00A55D00" w:rsidTr="001C518B">
        <w:trPr>
          <w:cantSplit/>
          <w:trHeight w:val="691"/>
        </w:trPr>
        <w:tc>
          <w:tcPr>
            <w:tcW w:w="2661" w:type="dxa"/>
            <w:vMerge w:val="restart"/>
          </w:tcPr>
          <w:p w:rsidR="008B490B" w:rsidRDefault="008B490B" w:rsidP="008B490B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8B490B" w:rsidRPr="005E17E1" w:rsidRDefault="008B490B" w:rsidP="008B49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8B490B" w:rsidRDefault="008B490B" w:rsidP="008B490B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8B490B" w:rsidRDefault="008B490B" w:rsidP="008B490B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8B490B" w:rsidRDefault="008B490B" w:rsidP="008B490B">
            <w:pPr>
              <w:spacing w:before="60" w:after="120"/>
              <w:rPr>
                <w:sz w:val="18"/>
                <w:szCs w:val="18"/>
              </w:rPr>
            </w:pPr>
          </w:p>
          <w:p w:rsidR="008B490B" w:rsidRDefault="008B490B" w:rsidP="008B490B">
            <w:pPr>
              <w:spacing w:before="60" w:after="120"/>
              <w:rPr>
                <w:sz w:val="18"/>
                <w:szCs w:val="18"/>
              </w:rPr>
            </w:pPr>
          </w:p>
          <w:p w:rsidR="008B490B" w:rsidRDefault="008B490B" w:rsidP="008B490B">
            <w:pPr>
              <w:spacing w:before="60" w:after="120"/>
              <w:rPr>
                <w:sz w:val="18"/>
                <w:szCs w:val="18"/>
              </w:rPr>
            </w:pPr>
          </w:p>
          <w:p w:rsidR="008B490B" w:rsidRPr="00BD6FAB" w:rsidRDefault="008B490B" w:rsidP="008B490B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 to battery chargers,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8B490B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8B490B" w:rsidRPr="002A6993" w:rsidRDefault="008B490B" w:rsidP="008B490B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B490B" w:rsidRDefault="008B490B" w:rsidP="008B490B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work spaces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where any cordless reciprocating saw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8B490B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8B490B" w:rsidRPr="002A6993" w:rsidRDefault="008B490B" w:rsidP="008B490B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8B490B" w:rsidRDefault="008B490B" w:rsidP="008B490B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90B" w:rsidRPr="00A55D00" w:rsidRDefault="008B490B" w:rsidP="008B490B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8B490B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8B490B" w:rsidRPr="002A503A" w:rsidRDefault="008B490B" w:rsidP="008B490B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8B490B" w:rsidRPr="002A6993" w:rsidRDefault="008B490B" w:rsidP="008B490B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:rsidR="008B490B" w:rsidRPr="002A6993" w:rsidRDefault="008B490B" w:rsidP="008B490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8B490B" w:rsidRDefault="008B490B" w:rsidP="008B490B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8B490B" w:rsidRPr="00870CEC" w:rsidRDefault="008B490B" w:rsidP="008B490B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8B490B" w:rsidRDefault="008B490B" w:rsidP="008B490B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8B490B" w:rsidRPr="002A6993" w:rsidRDefault="008B490B" w:rsidP="008B490B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Vibration</w:t>
            </w:r>
          </w:p>
          <w:p w:rsidR="008B490B" w:rsidRPr="002A6993" w:rsidRDefault="008B490B" w:rsidP="008B490B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>
              <w:rPr>
                <w:sz w:val="18"/>
                <w:szCs w:val="18"/>
              </w:rPr>
              <w:t>operation of this</w:t>
            </w:r>
            <w:r w:rsidRPr="002A6993">
              <w:rPr>
                <w:sz w:val="18"/>
                <w:szCs w:val="18"/>
              </w:rPr>
              <w:t xml:space="preserve"> plant likely to create severe or excess vibration that could be transferable to the operator?</w:t>
            </w:r>
          </w:p>
          <w:p w:rsidR="008B490B" w:rsidRPr="002A6993" w:rsidRDefault="008B490B" w:rsidP="008B490B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8B490B" w:rsidRDefault="008B490B" w:rsidP="008B490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8B490B" w:rsidRDefault="008B490B" w:rsidP="008B490B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8B490B" w:rsidRDefault="008B490B" w:rsidP="008B490B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8B490B" w:rsidRDefault="008B490B" w:rsidP="008B490B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8B490B" w:rsidRDefault="008B490B" w:rsidP="008B490B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8B490B" w:rsidRDefault="008B490B" w:rsidP="008B490B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8B490B" w:rsidRPr="006A148F" w:rsidRDefault="008B490B" w:rsidP="008B490B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cordless power saws are regularly maintained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8B490B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8B490B" w:rsidRPr="005E17E1" w:rsidRDefault="008B490B" w:rsidP="008B49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B490B" w:rsidRPr="006D497C" w:rsidRDefault="008B490B" w:rsidP="008B49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cordless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Service records</w:t>
            </w:r>
          </w:p>
        </w:tc>
      </w:tr>
      <w:tr w:rsidR="008B490B" w:rsidRPr="00A55D00" w:rsidTr="00AD3D9B">
        <w:trPr>
          <w:cantSplit/>
          <w:trHeight w:val="708"/>
        </w:trPr>
        <w:tc>
          <w:tcPr>
            <w:tcW w:w="2661" w:type="dxa"/>
            <w:vMerge/>
          </w:tcPr>
          <w:p w:rsidR="008B490B" w:rsidRPr="005E17E1" w:rsidRDefault="008B490B" w:rsidP="008B49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B490B" w:rsidRPr="002A6993" w:rsidRDefault="008B490B" w:rsidP="008B490B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noisy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D6417D" w:rsidRPr="00A55D00" w:rsidTr="001C518B">
        <w:trPr>
          <w:cantSplit/>
          <w:trHeight w:val="493"/>
        </w:trPr>
        <w:tc>
          <w:tcPr>
            <w:tcW w:w="2661" w:type="dxa"/>
            <w:vMerge/>
          </w:tcPr>
          <w:p w:rsidR="00D6417D" w:rsidRPr="005E17E1" w:rsidRDefault="00D6417D" w:rsidP="00D641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6417D" w:rsidRDefault="00D6417D" w:rsidP="00D6417D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Engineering controls (or physical changes) such as mandatory machinery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guarding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or any protective safety screens and enclosures are in place in all workspaces and all in good working condition.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6417D" w:rsidRPr="00A55D00" w:rsidRDefault="008B490B" w:rsidP="00D6417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6417D" w:rsidRPr="00A55D00" w:rsidRDefault="00D6417D" w:rsidP="00D6417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6417D" w:rsidRPr="00C3146F" w:rsidRDefault="008B490B" w:rsidP="00D6417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the manufacturer’s standards</w:t>
            </w:r>
          </w:p>
        </w:tc>
      </w:tr>
      <w:tr w:rsidR="008B490B" w:rsidRPr="00A55D00" w:rsidTr="00CD5795">
        <w:trPr>
          <w:cantSplit/>
          <w:trHeight w:val="527"/>
        </w:trPr>
        <w:tc>
          <w:tcPr>
            <w:tcW w:w="2661" w:type="dxa"/>
            <w:vMerge/>
          </w:tcPr>
          <w:p w:rsidR="008B490B" w:rsidRPr="005E17E1" w:rsidRDefault="008B490B" w:rsidP="008B49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B490B" w:rsidRPr="004A7F5A" w:rsidRDefault="008B490B" w:rsidP="008B490B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member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8B490B" w:rsidRPr="00A55D00" w:rsidTr="00CD5795">
        <w:trPr>
          <w:cantSplit/>
          <w:trHeight w:val="506"/>
        </w:trPr>
        <w:tc>
          <w:tcPr>
            <w:tcW w:w="2661" w:type="dxa"/>
            <w:vMerge/>
          </w:tcPr>
          <w:p w:rsidR="008B490B" w:rsidRPr="005E17E1" w:rsidRDefault="008B490B" w:rsidP="008B49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B490B" w:rsidRPr="00E80C0E" w:rsidRDefault="008B490B" w:rsidP="008B49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ll ducted dust extraction systems are 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operational.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Use </w:t>
            </w:r>
            <w:proofErr w:type="gramStart"/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of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portable</w:t>
            </w:r>
            <w:proofErr w:type="gramEnd"/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dust extraction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, workspace air filter and/or dust masks</w:t>
            </w:r>
          </w:p>
        </w:tc>
      </w:tr>
      <w:tr w:rsidR="008B490B" w:rsidRPr="00A55D00" w:rsidTr="00ED297B">
        <w:trPr>
          <w:cantSplit/>
          <w:trHeight w:val="726"/>
        </w:trPr>
        <w:tc>
          <w:tcPr>
            <w:tcW w:w="2661" w:type="dxa"/>
            <w:vMerge/>
          </w:tcPr>
          <w:p w:rsidR="008B490B" w:rsidRPr="005E17E1" w:rsidRDefault="008B490B" w:rsidP="008B49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B490B" w:rsidRPr="004A7F5A" w:rsidRDefault="008B490B" w:rsidP="008B490B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and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>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490B" w:rsidRPr="00112CF1" w:rsidRDefault="008B490B" w:rsidP="008B490B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8B490B" w:rsidRPr="00A55D00" w:rsidTr="00CD5795">
        <w:trPr>
          <w:cantSplit/>
          <w:trHeight w:val="1372"/>
        </w:trPr>
        <w:tc>
          <w:tcPr>
            <w:tcW w:w="2661" w:type="dxa"/>
            <w:vMerge/>
          </w:tcPr>
          <w:p w:rsidR="008B490B" w:rsidRPr="005E17E1" w:rsidRDefault="008B490B" w:rsidP="008B49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8B490B" w:rsidRDefault="008B490B" w:rsidP="008B490B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8B490B" w:rsidRPr="00DB50C8" w:rsidRDefault="008B490B" w:rsidP="008B490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90B" w:rsidRPr="00A55D00" w:rsidRDefault="008B490B" w:rsidP="008B490B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90B" w:rsidRPr="003501F8" w:rsidRDefault="008B490B" w:rsidP="008B490B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  <w:p w:rsidR="008B490B" w:rsidRPr="00112CF1" w:rsidRDefault="008B490B" w:rsidP="008B490B">
            <w:pPr>
              <w:spacing w:before="120" w:after="60"/>
              <w:rPr>
                <w:sz w:val="16"/>
                <w:szCs w:val="16"/>
              </w:rPr>
            </w:pPr>
          </w:p>
        </w:tc>
      </w:tr>
      <w:tr w:rsidR="00B50802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B50802" w:rsidRPr="002A6993" w:rsidRDefault="00B50802" w:rsidP="00B50802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B50802" w:rsidRDefault="00B50802" w:rsidP="00B50802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B50802" w:rsidRDefault="00B50802" w:rsidP="00B50802">
            <w:pPr>
              <w:spacing w:before="240"/>
              <w:rPr>
                <w:b/>
                <w:sz w:val="22"/>
                <w:szCs w:val="22"/>
              </w:rPr>
            </w:pPr>
          </w:p>
          <w:p w:rsidR="00B50802" w:rsidRDefault="00B50802" w:rsidP="00B50802">
            <w:pPr>
              <w:spacing w:before="240"/>
              <w:rPr>
                <w:b/>
                <w:sz w:val="22"/>
                <w:szCs w:val="22"/>
              </w:rPr>
            </w:pPr>
          </w:p>
          <w:p w:rsidR="00B50802" w:rsidRDefault="00B50802" w:rsidP="00B50802">
            <w:pPr>
              <w:spacing w:before="240"/>
              <w:rPr>
                <w:b/>
                <w:sz w:val="22"/>
                <w:szCs w:val="22"/>
              </w:rPr>
            </w:pPr>
          </w:p>
          <w:p w:rsidR="00B50802" w:rsidRDefault="00B50802" w:rsidP="00B50802">
            <w:pPr>
              <w:spacing w:before="240"/>
              <w:rPr>
                <w:b/>
                <w:sz w:val="22"/>
                <w:szCs w:val="22"/>
              </w:rPr>
            </w:pPr>
          </w:p>
          <w:p w:rsidR="00B50802" w:rsidRPr="005E17E1" w:rsidRDefault="00B50802" w:rsidP="00B50802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50802" w:rsidRDefault="00B50802" w:rsidP="00B50802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Visually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cordless power saws, their electrical switches, plugs,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leads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battery charges.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0802" w:rsidRPr="00A55D00" w:rsidRDefault="00B50802" w:rsidP="00B50802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0802" w:rsidRPr="00A55D00" w:rsidRDefault="00B50802" w:rsidP="00B50802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50802" w:rsidRPr="003501F8" w:rsidRDefault="00B50802" w:rsidP="00B50802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B50802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B50802" w:rsidRDefault="00B50802" w:rsidP="00B50802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50802" w:rsidRDefault="00B50802" w:rsidP="00B50802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cordless portable power tool battery chargers.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50802" w:rsidRPr="00A55D00" w:rsidRDefault="00B50802" w:rsidP="00B5080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50802" w:rsidRPr="00A55D00" w:rsidRDefault="00B50802" w:rsidP="00B5080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50802" w:rsidRPr="00112CF1" w:rsidRDefault="00B50802" w:rsidP="00B50802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Annual test and tag for corded and battery charging units</w:t>
            </w:r>
          </w:p>
        </w:tc>
      </w:tr>
      <w:tr w:rsidR="00B50802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B50802" w:rsidRDefault="00B50802" w:rsidP="00B50802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50802" w:rsidRPr="00F361FB" w:rsidRDefault="00B50802" w:rsidP="00B50802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cordless power saws or their battery chargers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50802" w:rsidRPr="00A55D00" w:rsidRDefault="00B50802" w:rsidP="00B5080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50802" w:rsidRPr="00A55D00" w:rsidRDefault="00B50802" w:rsidP="00B5080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50802" w:rsidRPr="00112CF1" w:rsidRDefault="00B50802" w:rsidP="00B50802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B50802" w:rsidRPr="00A55D00" w:rsidTr="001C518B">
        <w:trPr>
          <w:cantSplit/>
          <w:trHeight w:val="1455"/>
        </w:trPr>
        <w:tc>
          <w:tcPr>
            <w:tcW w:w="2661" w:type="dxa"/>
            <w:vMerge/>
          </w:tcPr>
          <w:p w:rsidR="00B50802" w:rsidRDefault="00B50802" w:rsidP="00B50802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B50802" w:rsidRPr="00E81E8A" w:rsidRDefault="00B50802" w:rsidP="00B50802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cordless power saws and chargers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802" w:rsidRPr="00A55D00" w:rsidRDefault="00B50802" w:rsidP="00B50802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802" w:rsidRPr="00A55D00" w:rsidRDefault="00B50802" w:rsidP="00B50802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0802" w:rsidRPr="00112CF1" w:rsidRDefault="00B50802" w:rsidP="00B50802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Service records</w:t>
            </w:r>
          </w:p>
        </w:tc>
      </w:tr>
      <w:tr w:rsidR="00D6417D" w:rsidRPr="00A55D00" w:rsidTr="001C518B">
        <w:trPr>
          <w:cantSplit/>
          <w:trHeight w:val="189"/>
        </w:trPr>
        <w:tc>
          <w:tcPr>
            <w:tcW w:w="2661" w:type="dxa"/>
            <w:vMerge w:val="restart"/>
          </w:tcPr>
          <w:p w:rsidR="00D6417D" w:rsidRPr="005E17E1" w:rsidRDefault="00D6417D" w:rsidP="00D6417D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D6417D" w:rsidRDefault="00D6417D" w:rsidP="00D6417D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:rsidR="00D6417D" w:rsidRPr="00CE1C9E" w:rsidRDefault="00D6417D" w:rsidP="00D6417D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proofErr w:type="gramStart"/>
            <w:r w:rsidRPr="00CE1C9E">
              <w:rPr>
                <w:sz w:val="18"/>
                <w:szCs w:val="18"/>
              </w:rPr>
              <w:t>come into contact with</w:t>
            </w:r>
            <w:proofErr w:type="gramEnd"/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D6417D" w:rsidRDefault="00D6417D" w:rsidP="00D6417D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D6417D" w:rsidRDefault="00D6417D" w:rsidP="00D6417D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D6417D" w:rsidRDefault="00D6417D" w:rsidP="00D6417D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as airborne toxic wood dust particulates?</w:t>
            </w:r>
          </w:p>
          <w:p w:rsidR="00D6417D" w:rsidRPr="002568E6" w:rsidRDefault="00D6417D" w:rsidP="00D6417D">
            <w:pPr>
              <w:spacing w:before="6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D6417D" w:rsidRPr="002A6993" w:rsidRDefault="00D6417D" w:rsidP="00D6417D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cordless power saws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417D" w:rsidRPr="00A55D00" w:rsidRDefault="00BC3A42" w:rsidP="00D6417D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417D" w:rsidRPr="00A55D00" w:rsidRDefault="00D6417D" w:rsidP="00D6417D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6417D" w:rsidRPr="00C3146F" w:rsidRDefault="00BC3A42" w:rsidP="00D6417D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 and servicing</w:t>
            </w:r>
          </w:p>
        </w:tc>
      </w:tr>
      <w:tr w:rsidR="00D6417D" w:rsidRPr="00A55D00" w:rsidTr="001C518B">
        <w:trPr>
          <w:cantSplit/>
          <w:trHeight w:val="446"/>
        </w:trPr>
        <w:tc>
          <w:tcPr>
            <w:tcW w:w="2661" w:type="dxa"/>
            <w:vMerge/>
          </w:tcPr>
          <w:p w:rsidR="00D6417D" w:rsidRPr="005E17E1" w:rsidRDefault="00D6417D" w:rsidP="00D6417D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6417D" w:rsidRPr="002A6993" w:rsidRDefault="00D6417D" w:rsidP="00D6417D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hazardous waste materials or toxic dust and gases resulting from this sawing process are monitored.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6417D" w:rsidRPr="00A55D00" w:rsidRDefault="00BC3A42" w:rsidP="00D6417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6417D" w:rsidRPr="00A55D00" w:rsidRDefault="00D6417D" w:rsidP="00D6417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D6417D" w:rsidRPr="00C3146F" w:rsidRDefault="00BC3A42" w:rsidP="00D6417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dust extraction and P2/P3 face masks if required</w:t>
            </w:r>
          </w:p>
        </w:tc>
      </w:tr>
      <w:tr w:rsidR="00BC3A42" w:rsidRPr="00A55D00" w:rsidTr="001C518B">
        <w:trPr>
          <w:cantSplit/>
          <w:trHeight w:val="186"/>
        </w:trPr>
        <w:tc>
          <w:tcPr>
            <w:tcW w:w="2661" w:type="dxa"/>
            <w:vMerge/>
          </w:tcPr>
          <w:p w:rsidR="00BC3A42" w:rsidRPr="005E17E1" w:rsidRDefault="00BC3A42" w:rsidP="00BC3A42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3A42" w:rsidRDefault="00BC3A42" w:rsidP="00BC3A42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member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3A42" w:rsidRPr="00A55D00" w:rsidRDefault="00BC3A42" w:rsidP="00BC3A4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3A42" w:rsidRPr="00A55D00" w:rsidRDefault="00BC3A42" w:rsidP="00BC3A4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3A42" w:rsidRPr="00112CF1" w:rsidRDefault="00BC3A42" w:rsidP="00BC3A42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General Induction and Housekeeping procedures</w:t>
            </w:r>
          </w:p>
        </w:tc>
      </w:tr>
      <w:tr w:rsidR="00BC3A42" w:rsidRPr="00A55D00" w:rsidTr="00161770">
        <w:trPr>
          <w:cantSplit/>
          <w:trHeight w:val="399"/>
        </w:trPr>
        <w:tc>
          <w:tcPr>
            <w:tcW w:w="2661" w:type="dxa"/>
            <w:vMerge/>
          </w:tcPr>
          <w:p w:rsidR="00BC3A42" w:rsidRPr="005E17E1" w:rsidRDefault="00BC3A42" w:rsidP="00BC3A42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3A42" w:rsidRDefault="00BC3A42" w:rsidP="00BC3A42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“Safe Working Zones” are clearly defined in all practical workspaces where the cordless reciprocating saw 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3A42" w:rsidRPr="00A55D00" w:rsidRDefault="00BC3A42" w:rsidP="00BC3A4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3A42" w:rsidRPr="00A55D00" w:rsidRDefault="00BC3A42" w:rsidP="00BC3A4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3A42" w:rsidRPr="0024620E" w:rsidRDefault="00BC3A42" w:rsidP="00BC3A42">
            <w:pPr>
              <w:spacing w:before="120" w:after="60"/>
              <w:rPr>
                <w:b/>
                <w:bCs/>
                <w:sz w:val="16"/>
                <w:szCs w:val="16"/>
              </w:rPr>
            </w:pPr>
            <w:r w:rsidRPr="00D01381">
              <w:rPr>
                <w:b/>
                <w:bCs/>
                <w:color w:val="002060"/>
                <w:sz w:val="16"/>
                <w:szCs w:val="16"/>
              </w:rPr>
              <w:t>Defined by Supervisor or JSA</w:t>
            </w:r>
          </w:p>
        </w:tc>
      </w:tr>
      <w:tr w:rsidR="00BC3A42" w:rsidRPr="00A55D00" w:rsidTr="00161770">
        <w:trPr>
          <w:cantSplit/>
          <w:trHeight w:val="1170"/>
        </w:trPr>
        <w:tc>
          <w:tcPr>
            <w:tcW w:w="2661" w:type="dxa"/>
            <w:vMerge/>
          </w:tcPr>
          <w:p w:rsidR="00BC3A42" w:rsidRPr="005E17E1" w:rsidRDefault="00BC3A42" w:rsidP="00BC3A42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3A42" w:rsidRPr="00166AC3" w:rsidRDefault="00BC3A42" w:rsidP="00BC3A42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C3A42" w:rsidRPr="002A6993" w:rsidRDefault="00BC3A42" w:rsidP="00BC3A42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A42" w:rsidRPr="00A55D00" w:rsidRDefault="00BC3A42" w:rsidP="00BC3A4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A42" w:rsidRPr="00A55D00" w:rsidRDefault="00BC3A42" w:rsidP="00BC3A42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3A42" w:rsidRPr="00112CF1" w:rsidRDefault="00BC3A42" w:rsidP="00BC3A42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C87836" w:rsidRPr="00A55D00" w:rsidTr="00161770">
        <w:trPr>
          <w:cantSplit/>
          <w:trHeight w:val="824"/>
        </w:trPr>
        <w:tc>
          <w:tcPr>
            <w:tcW w:w="2661" w:type="dxa"/>
            <w:vMerge w:val="restart"/>
          </w:tcPr>
          <w:p w:rsidR="00C87836" w:rsidRPr="005E17E1" w:rsidRDefault="00C87836" w:rsidP="00C87836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C87836" w:rsidRPr="005E17E1" w:rsidRDefault="00C87836" w:rsidP="00C87836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C87836" w:rsidRDefault="00C87836" w:rsidP="00C87836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C87836" w:rsidRPr="0025480F" w:rsidRDefault="00C87836" w:rsidP="00C8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C87836" w:rsidRPr="002A6993" w:rsidRDefault="00C87836" w:rsidP="00C8783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7836" w:rsidRPr="00112CF1" w:rsidRDefault="00C87836" w:rsidP="00C8783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</w:p>
        </w:tc>
      </w:tr>
      <w:tr w:rsidR="00C87836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C87836" w:rsidRDefault="00C87836" w:rsidP="00C8783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87836" w:rsidRPr="002A6993" w:rsidRDefault="00C87836" w:rsidP="00C8783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87836" w:rsidRPr="00112CF1" w:rsidRDefault="00C87836" w:rsidP="00C8783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Supervisor to assess </w:t>
            </w:r>
            <w:proofErr w:type="gramStart"/>
            <w:r>
              <w:rPr>
                <w:rFonts w:cs="Arial"/>
                <w:b/>
                <w:color w:val="000080"/>
                <w:sz w:val="16"/>
                <w:szCs w:val="16"/>
              </w:rPr>
              <w:t>work space</w:t>
            </w:r>
            <w:proofErr w:type="gramEnd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C87836" w:rsidRPr="00A55D00" w:rsidTr="006478F7">
        <w:trPr>
          <w:cantSplit/>
          <w:trHeight w:val="2169"/>
        </w:trPr>
        <w:tc>
          <w:tcPr>
            <w:tcW w:w="2661" w:type="dxa"/>
            <w:vMerge/>
          </w:tcPr>
          <w:p w:rsidR="00C87836" w:rsidRDefault="00C87836" w:rsidP="00C8783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C87836" w:rsidRPr="002A6993" w:rsidRDefault="00C87836" w:rsidP="00C8783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7836" w:rsidRPr="00A55D00" w:rsidRDefault="00C87836" w:rsidP="00C8783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7836" w:rsidRPr="00A55D00" w:rsidRDefault="00C87836" w:rsidP="00C8783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7836" w:rsidRPr="00112CF1" w:rsidRDefault="00C87836" w:rsidP="00C8783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C87836" w:rsidRPr="00A55D00" w:rsidTr="001C518B">
        <w:trPr>
          <w:cantSplit/>
          <w:trHeight w:val="180"/>
        </w:trPr>
        <w:tc>
          <w:tcPr>
            <w:tcW w:w="2661" w:type="dxa"/>
            <w:vMerge w:val="restart"/>
          </w:tcPr>
          <w:p w:rsidR="00C87836" w:rsidRPr="002A6993" w:rsidRDefault="00C87836" w:rsidP="00C87836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C87836" w:rsidRPr="00033942" w:rsidRDefault="00C87836" w:rsidP="00C87836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C87836" w:rsidRPr="002A6993" w:rsidRDefault="00C87836" w:rsidP="00C8783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7836" w:rsidRPr="00112CF1" w:rsidRDefault="00C87836" w:rsidP="00C87836">
            <w:pPr>
              <w:spacing w:before="360" w:after="60"/>
              <w:rPr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b/>
                <w:color w:val="000080"/>
                <w:sz w:val="16"/>
                <w:szCs w:val="16"/>
              </w:rPr>
              <w:t>s per Australian Standards</w:t>
            </w:r>
          </w:p>
        </w:tc>
      </w:tr>
      <w:tr w:rsidR="00C87836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C87836" w:rsidRDefault="00C87836" w:rsidP="00C8783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87836" w:rsidRDefault="00C87836" w:rsidP="00C8783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student training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87836" w:rsidRPr="00112CF1" w:rsidRDefault="00C87836" w:rsidP="00C8783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Fire &amp; Evac training.</w:t>
            </w:r>
          </w:p>
        </w:tc>
      </w:tr>
      <w:tr w:rsidR="00C87836" w:rsidRPr="00A55D00" w:rsidTr="00290743">
        <w:trPr>
          <w:cantSplit/>
          <w:trHeight w:val="180"/>
        </w:trPr>
        <w:tc>
          <w:tcPr>
            <w:tcW w:w="2661" w:type="dxa"/>
            <w:vMerge/>
          </w:tcPr>
          <w:p w:rsidR="00C87836" w:rsidRDefault="00C87836" w:rsidP="00C8783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87836" w:rsidRDefault="00C87836" w:rsidP="00C8783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87836" w:rsidRPr="00A55D00" w:rsidRDefault="00C87836" w:rsidP="00C8783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87836" w:rsidRPr="00A23141" w:rsidRDefault="00C87836" w:rsidP="00C87836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  <w:tr w:rsidR="00C87836" w:rsidRPr="00A55D00" w:rsidTr="00290743">
        <w:trPr>
          <w:cantSplit/>
          <w:trHeight w:val="750"/>
        </w:trPr>
        <w:tc>
          <w:tcPr>
            <w:tcW w:w="2661" w:type="dxa"/>
            <w:vMerge/>
          </w:tcPr>
          <w:p w:rsidR="00C87836" w:rsidRDefault="00C87836" w:rsidP="00C8783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C87836" w:rsidRPr="006478F7" w:rsidRDefault="00C87836" w:rsidP="00C8783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6478F7">
              <w:rPr>
                <w:rFonts w:cs="Arial"/>
                <w:color w:val="000000"/>
                <w:sz w:val="18"/>
                <w:szCs w:val="18"/>
              </w:rPr>
              <w:t xml:space="preserve">Safety signage is posted clearly denoting the location of all fire safety items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6478F7">
              <w:rPr>
                <w:rFonts w:cs="Arial"/>
                <w:color w:val="000000"/>
                <w:sz w:val="18"/>
                <w:szCs w:val="18"/>
              </w:rPr>
              <w:t xml:space="preserve"> emergence exits.</w:t>
            </w:r>
          </w:p>
          <w:p w:rsidR="00C87836" w:rsidRPr="00207133" w:rsidRDefault="00C87836" w:rsidP="00C87836">
            <w:pPr>
              <w:spacing w:before="60" w:after="6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7836" w:rsidRPr="00A55D00" w:rsidRDefault="00C87836" w:rsidP="00C8783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7836" w:rsidRPr="00A55D00" w:rsidRDefault="00C87836" w:rsidP="00C87836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7836" w:rsidRPr="00A23141" w:rsidRDefault="00C87836" w:rsidP="00C87836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B92B6E" w:rsidRPr="00047F53" w:rsidRDefault="00B92B6E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C3146F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C3146F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D274C1">
              <w:rPr>
                <w:rFonts w:cs="Arial"/>
                <w:b/>
                <w:color w:val="000080"/>
                <w:sz w:val="22"/>
              </w:rPr>
            </w:r>
            <w:r w:rsidR="00D274C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D274C1">
              <w:rPr>
                <w:rFonts w:cs="Arial"/>
                <w:b/>
                <w:color w:val="000080"/>
                <w:sz w:val="22"/>
              </w:rPr>
            </w:r>
            <w:r w:rsidR="00D274C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D274C1">
              <w:rPr>
                <w:rFonts w:cs="Arial"/>
                <w:b/>
                <w:color w:val="000080"/>
                <w:sz w:val="22"/>
              </w:rPr>
            </w:r>
            <w:r w:rsidR="00D274C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C3146F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B92B6E" w:rsidRDefault="00B92B6E">
      <w: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C3146F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C3146F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C3146F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C3146F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</w:r>
            <w:r w:rsidR="00D274C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2848FF" w:rsidRDefault="002848FF" w:rsidP="00967C17">
      <w:pPr>
        <w:rPr>
          <w:noProof/>
        </w:rPr>
      </w:pPr>
    </w:p>
    <w:p w:rsidR="002848FF" w:rsidRDefault="002848FF" w:rsidP="00967C17">
      <w:pPr>
        <w:rPr>
          <w:noProof/>
        </w:rPr>
      </w:pPr>
    </w:p>
    <w:p w:rsidR="002848FF" w:rsidRPr="002A5F92" w:rsidRDefault="002848FF" w:rsidP="002848FF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2848FF" w:rsidRPr="002A5F92" w:rsidRDefault="002848FF" w:rsidP="002848FF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This policy is licensed under a Creative Commons Attribution 3.0 Australia </w:t>
      </w:r>
      <w:proofErr w:type="spellStart"/>
      <w:r w:rsidRPr="002A5F92">
        <w:rPr>
          <w:rFonts w:eastAsia="MS Mincho" w:cs="Arial"/>
          <w:sz w:val="20"/>
          <w:lang w:val="en-US" w:eastAsia="en-US"/>
        </w:rPr>
        <w:t>licence</w:t>
      </w:r>
      <w:proofErr w:type="spellEnd"/>
      <w:r w:rsidRPr="002A5F92">
        <w:rPr>
          <w:rFonts w:eastAsia="MS Mincho" w:cs="Arial"/>
          <w:sz w:val="20"/>
          <w:lang w:val="en-US" w:eastAsia="en-US"/>
        </w:rPr>
        <w:t>. You are free to copy, communicate and adapt this work, so long as you attribute the State Library of Queensland.</w:t>
      </w:r>
    </w:p>
    <w:p w:rsidR="002848FF" w:rsidRPr="002A5F92" w:rsidRDefault="002848FF" w:rsidP="002848FF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C3A6CC7" wp14:editId="286BEF54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4FC9259C" wp14:editId="72B49F12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8FF" w:rsidRDefault="002848FF" w:rsidP="002848FF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2848FF" w:rsidRDefault="002848FF" w:rsidP="002848FF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2848FF" w:rsidRDefault="002848FF" w:rsidP="00967C17">
      <w:pPr>
        <w:rPr>
          <w:noProof/>
        </w:rPr>
      </w:pPr>
    </w:p>
    <w:sectPr w:rsidR="002848FF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EF" w:rsidRDefault="00D258EF">
      <w:r>
        <w:separator/>
      </w:r>
    </w:p>
  </w:endnote>
  <w:endnote w:type="continuationSeparator" w:id="0">
    <w:p w:rsidR="00D258EF" w:rsidRDefault="00D2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2848FF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2848FF" w:rsidRPr="00FF7507" w:rsidRDefault="002848FF" w:rsidP="002848FF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2848FF" w:rsidRPr="00FF7507" w:rsidRDefault="002848FF" w:rsidP="002848FF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2848FF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2848FF" w:rsidRPr="00FF7507" w:rsidRDefault="002848FF" w:rsidP="002848FF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2848FF" w:rsidRPr="00FF7507" w:rsidRDefault="002848FF" w:rsidP="002848FF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2848FF" w:rsidRPr="00FF7507" w:rsidRDefault="002848FF" w:rsidP="002848F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2848FF" w:rsidRPr="00FF7507" w:rsidRDefault="002848FF" w:rsidP="002848F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2848FF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2848FF" w:rsidRPr="00FF7507" w:rsidRDefault="002848FF" w:rsidP="002848FF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2848FF" w:rsidRPr="00FF7507" w:rsidRDefault="002848FF" w:rsidP="002848FF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2848FF" w:rsidRPr="00DC1FE1" w:rsidRDefault="002848FF" w:rsidP="002848F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2848FF" w:rsidRDefault="002848FF" w:rsidP="002848FF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D258EF" w:rsidRPr="002848FF" w:rsidRDefault="00D258EF" w:rsidP="00284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EF" w:rsidRDefault="00D258EF">
      <w:r>
        <w:separator/>
      </w:r>
    </w:p>
  </w:footnote>
  <w:footnote w:type="continuationSeparator" w:id="0">
    <w:p w:rsidR="00D258EF" w:rsidRDefault="00D2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7"/>
  </w:num>
  <w:num w:numId="5">
    <w:abstractNumId w:val="26"/>
  </w:num>
  <w:num w:numId="6">
    <w:abstractNumId w:val="2"/>
  </w:num>
  <w:num w:numId="7">
    <w:abstractNumId w:val="13"/>
  </w:num>
  <w:num w:numId="8">
    <w:abstractNumId w:val="18"/>
  </w:num>
  <w:num w:numId="9">
    <w:abstractNumId w:val="28"/>
  </w:num>
  <w:num w:numId="10">
    <w:abstractNumId w:val="9"/>
  </w:num>
  <w:num w:numId="11">
    <w:abstractNumId w:val="27"/>
  </w:num>
  <w:num w:numId="12">
    <w:abstractNumId w:val="22"/>
  </w:num>
  <w:num w:numId="13">
    <w:abstractNumId w:val="3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4"/>
  </w:num>
  <w:num w:numId="17">
    <w:abstractNumId w:val="5"/>
  </w:num>
  <w:num w:numId="18">
    <w:abstractNumId w:val="11"/>
  </w:num>
  <w:num w:numId="19">
    <w:abstractNumId w:val="12"/>
  </w:num>
  <w:num w:numId="20">
    <w:abstractNumId w:val="14"/>
  </w:num>
  <w:num w:numId="21">
    <w:abstractNumId w:val="7"/>
  </w:num>
  <w:num w:numId="22">
    <w:abstractNumId w:val="20"/>
  </w:num>
  <w:num w:numId="23">
    <w:abstractNumId w:val="29"/>
  </w:num>
  <w:num w:numId="24">
    <w:abstractNumId w:val="4"/>
  </w:num>
  <w:num w:numId="25">
    <w:abstractNumId w:val="6"/>
  </w:num>
  <w:num w:numId="26">
    <w:abstractNumId w:val="25"/>
  </w:num>
  <w:num w:numId="27">
    <w:abstractNumId w:val="21"/>
  </w:num>
  <w:num w:numId="28">
    <w:abstractNumId w:val="0"/>
  </w:num>
  <w:num w:numId="29">
    <w:abstractNumId w:val="8"/>
  </w:num>
  <w:num w:numId="30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C4A57"/>
    <w:rsid w:val="000C7CB8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0952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C375C"/>
    <w:rsid w:val="001C3786"/>
    <w:rsid w:val="001C481F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848FF"/>
    <w:rsid w:val="00290743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6D15"/>
    <w:rsid w:val="002C70FD"/>
    <w:rsid w:val="002D0B0F"/>
    <w:rsid w:val="002D0B4F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28BF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15443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478F7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64B6"/>
    <w:rsid w:val="00690561"/>
    <w:rsid w:val="00692EB0"/>
    <w:rsid w:val="00696C1E"/>
    <w:rsid w:val="006A148F"/>
    <w:rsid w:val="006A45A4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651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B61A6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0E5D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670"/>
    <w:rsid w:val="008868DB"/>
    <w:rsid w:val="008A3786"/>
    <w:rsid w:val="008A3D9E"/>
    <w:rsid w:val="008A5856"/>
    <w:rsid w:val="008A5BBD"/>
    <w:rsid w:val="008A5DCB"/>
    <w:rsid w:val="008A6108"/>
    <w:rsid w:val="008B091C"/>
    <w:rsid w:val="008B3011"/>
    <w:rsid w:val="008B490B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3D9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0802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C3A42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46F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87836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B2C"/>
    <w:rsid w:val="00CB3E2D"/>
    <w:rsid w:val="00CB6A29"/>
    <w:rsid w:val="00CC0582"/>
    <w:rsid w:val="00CC1251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8EF"/>
    <w:rsid w:val="00D25B1A"/>
    <w:rsid w:val="00D274C1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EF8"/>
    <w:rsid w:val="00D464D0"/>
    <w:rsid w:val="00D47495"/>
    <w:rsid w:val="00D508F4"/>
    <w:rsid w:val="00D566D6"/>
    <w:rsid w:val="00D56B3E"/>
    <w:rsid w:val="00D6417D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2C1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0815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97B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5674164D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D258EF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D166-C3FA-4B82-A472-0D772C446C1B}">
  <ds:schemaRefs>
    <ds:schemaRef ds:uri="http://schemas.microsoft.com/office/2006/metadata/properties"/>
    <ds:schemaRef ds:uri="http://schemas.microsoft.com/office/infopath/2007/PartnerControls"/>
    <ds:schemaRef ds:uri="f114f5df-7614-43c1-ba8e-2daa6e5371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925FAD-8AD5-41F1-8843-C405C186F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669D0-037C-415B-9DE8-7B2EF4811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C12FC-368B-4729-870A-FCD9A89E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2513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Cordless reciprocating saw</vt:lpstr>
    </vt:vector>
  </TitlesOfParts>
  <Company>DETE, Education Queensland</Company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Cordless reciprocating saw</dc:title>
  <dc:creator>CLARK, Brian</dc:creator>
  <cp:keywords>DETE, Education Queensland</cp:keywords>
  <cp:lastModifiedBy>Andrei Maberley</cp:lastModifiedBy>
  <cp:revision>13</cp:revision>
  <cp:lastPrinted>2011-10-11T01:20:00Z</cp:lastPrinted>
  <dcterms:created xsi:type="dcterms:W3CDTF">2020-02-08T02:01:00Z</dcterms:created>
  <dcterms:modified xsi:type="dcterms:W3CDTF">2020-10-12T04:47:00Z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