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align>center</wp:align>
                </wp:positionH>
                <wp:positionV relativeFrom="paragraph">
                  <wp:posOffset>550293</wp:posOffset>
                </wp:positionV>
                <wp:extent cx="2579370" cy="29329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08AE" w:rsidRPr="00932BA8" w:rsidRDefault="000C08AE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HEAT 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43.35pt;width:203.1pt;height:23.1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" filled="f" stroked="f" strokeweight=".5pt">
                <v:textbox>
                  <w:txbxContent>
                    <w:p w:rsidR="000C08AE" w:rsidRPr="00932BA8" w:rsidRDefault="000C08AE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HEAT GUN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OLE_LINK5"/>
      <w:bookmarkStart w:id="1" w:name="OLE_LINK6"/>
      <w:r w:rsidR="00465DC2">
        <w:rPr>
          <w:noProof/>
          <w:sz w:val="40"/>
          <w:szCs w:val="40"/>
          <w:lang w:eastAsia="zh-TW"/>
        </w:rPr>
        <w:drawing>
          <wp:inline distT="0" distB="0" distL="0" distR="0">
            <wp:extent cx="6479540" cy="8279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ding_word_banner_PE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2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8AE" w:rsidRDefault="000C08AE" w:rsidP="000C08AE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lang w:eastAsia="zh-TW"/>
        </w:rPr>
        <w:drawing>
          <wp:anchor distT="0" distB="0" distL="114300" distR="114300" simplePos="0" relativeHeight="251664895" behindDoc="1" locked="0" layoutInCell="1" allowOverlap="1" wp14:anchorId="3A1BB566" wp14:editId="540ADDC0">
            <wp:simplePos x="0" y="0"/>
            <wp:positionH relativeFrom="margin">
              <wp:posOffset>4941570</wp:posOffset>
            </wp:positionH>
            <wp:positionV relativeFrom="paragraph">
              <wp:posOffset>78740</wp:posOffset>
            </wp:positionV>
            <wp:extent cx="1536700" cy="1485900"/>
            <wp:effectExtent l="0" t="0" r="635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t Air Welding Gu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DF5BBE" w:rsidRPr="00DF5BBE" w:rsidRDefault="00DF5BBE" w:rsidP="00DF5BBE"/>
    <w:p w:rsidR="000C08AE" w:rsidRPr="00203A00" w:rsidRDefault="000C08AE" w:rsidP="000C08AE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D9427C" w:rsidRPr="00D9427C">
        <w:rPr>
          <w:b/>
          <w:color w:val="FF0000"/>
          <w:sz w:val="20"/>
        </w:rPr>
        <w:t>State Library of Queensland</w:t>
      </w:r>
      <w:r w:rsidR="001D44F4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0C08AE" w:rsidRPr="002533FD" w:rsidRDefault="000C08AE" w:rsidP="000C08AE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0C08AE" w:rsidRDefault="000C08AE" w:rsidP="000C08AE"/>
    <w:p w:rsidR="000C08AE" w:rsidRPr="000C08AE" w:rsidRDefault="000C08AE" w:rsidP="000C08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0C08AE">
              <w:rPr>
                <w:rFonts w:cs="Arial"/>
                <w:b/>
                <w:color w:val="000080"/>
                <w:sz w:val="20"/>
              </w:rPr>
              <w:t>Heat Gun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C08AE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C08AE">
              <w:rPr>
                <w:rFonts w:cs="Arial"/>
                <w:b/>
                <w:color w:val="000080"/>
                <w:sz w:val="20"/>
              </w:rPr>
              <w:t>The Edge 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C08AE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C08AE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819"/>
        <w:gridCol w:w="3427"/>
      </w:tblGrid>
      <w:tr w:rsidR="00F235F9" w:rsidRPr="00A55D00" w:rsidTr="00513760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819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427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CA5907" w:rsidRPr="00A55D00" w:rsidTr="00513760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CA5907" w:rsidRPr="00630891" w:rsidRDefault="00CA5907" w:rsidP="00CA5907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A5907" w:rsidRPr="000B5ADB" w:rsidRDefault="00CA5907" w:rsidP="00CA5907">
            <w:pPr>
              <w:rPr>
                <w:sz w:val="22"/>
                <w:szCs w:val="22"/>
              </w:rPr>
            </w:pPr>
            <w:r w:rsidRPr="00CA5907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819" w:type="dxa"/>
            <w:vAlign w:val="center"/>
          </w:tcPr>
          <w:p w:rsidR="00CA5907" w:rsidRDefault="00CA5907" w:rsidP="00CA590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360" w:after="240"/>
              <w:ind w:left="432"/>
              <w:rPr>
                <w:sz w:val="20"/>
              </w:rPr>
            </w:pPr>
            <w:r>
              <w:rPr>
                <w:sz w:val="20"/>
              </w:rPr>
              <w:t>When heating and shaping materials at moderate temperatures.</w:t>
            </w:r>
          </w:p>
          <w:p w:rsidR="00CA5907" w:rsidRDefault="00CA5907" w:rsidP="00CA590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120" w:after="240"/>
              <w:ind w:left="432"/>
              <w:rPr>
                <w:sz w:val="20"/>
              </w:rPr>
            </w:pPr>
            <w:r>
              <w:rPr>
                <w:sz w:val="20"/>
              </w:rPr>
              <w:t xml:space="preserve">When used for softening specific adhesives. </w:t>
            </w:r>
          </w:p>
          <w:p w:rsidR="00CA5907" w:rsidRDefault="00CA5907" w:rsidP="00CA590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120" w:after="240"/>
              <w:ind w:left="432"/>
              <w:rPr>
                <w:sz w:val="20"/>
              </w:rPr>
            </w:pPr>
            <w:r>
              <w:rPr>
                <w:sz w:val="20"/>
              </w:rPr>
              <w:t xml:space="preserve">When used with attachments that restrict or concentrate the hot air stream. </w:t>
            </w:r>
          </w:p>
          <w:p w:rsidR="00CA5907" w:rsidRPr="00177444" w:rsidRDefault="00CA5907" w:rsidP="00CA590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120" w:after="480"/>
              <w:ind w:left="432"/>
              <w:rPr>
                <w:sz w:val="20"/>
              </w:rPr>
            </w:pPr>
            <w:r>
              <w:rPr>
                <w:sz w:val="20"/>
              </w:rPr>
              <w:t>When the h</w:t>
            </w:r>
            <w:r w:rsidR="000C08AE">
              <w:rPr>
                <w:sz w:val="20"/>
              </w:rPr>
              <w:t>eat</w:t>
            </w:r>
            <w:r>
              <w:rPr>
                <w:sz w:val="20"/>
              </w:rPr>
              <w:t xml:space="preserve"> gun is used within </w:t>
            </w:r>
            <w:r w:rsidR="000C08AE">
              <w:rPr>
                <w:sz w:val="20"/>
              </w:rPr>
              <w:t xml:space="preserve">the fabrication lab </w:t>
            </w:r>
            <w:r>
              <w:rPr>
                <w:sz w:val="20"/>
              </w:rPr>
              <w:t>workshop environment and under supervision.</w:t>
            </w:r>
          </w:p>
        </w:tc>
        <w:tc>
          <w:tcPr>
            <w:tcW w:w="3427" w:type="dxa"/>
            <w:vAlign w:val="center"/>
          </w:tcPr>
          <w:p w:rsidR="00CA5907" w:rsidRPr="001A22D5" w:rsidRDefault="00CA5907" w:rsidP="00CA5907">
            <w:pPr>
              <w:pStyle w:val="BlockText"/>
              <w:numPr>
                <w:ilvl w:val="0"/>
                <w:numId w:val="15"/>
              </w:numPr>
              <w:tabs>
                <w:tab w:val="clear" w:pos="612"/>
                <w:tab w:val="num" w:pos="301"/>
              </w:tabs>
              <w:spacing w:before="240" w:after="24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  <w:p w:rsidR="00CA5907" w:rsidRPr="000A0025" w:rsidRDefault="00CA5907" w:rsidP="000C08AE">
            <w:pPr>
              <w:spacing w:before="240" w:after="240"/>
              <w:ind w:left="300"/>
              <w:rPr>
                <w:sz w:val="20"/>
              </w:rPr>
            </w:pPr>
          </w:p>
        </w:tc>
      </w:tr>
    </w:tbl>
    <w:p w:rsidR="000A0025" w:rsidRPr="00692EB0" w:rsidRDefault="000A0025" w:rsidP="003447BD">
      <w:pPr>
        <w:pStyle w:val="BlockText"/>
        <w:spacing w:before="60" w:after="60" w:line="240" w:lineRule="auto"/>
        <w:ind w:right="0"/>
        <w:rPr>
          <w:rFonts w:cs="Arial"/>
          <w:noProof/>
        </w:rPr>
      </w:pPr>
    </w:p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C08AE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bookmarkStart w:id="2" w:name="_GoBack"/>
            <w:bookmarkEnd w:id="2"/>
            <w:r w:rsidR="001D44F4">
              <w:rPr>
                <w:rFonts w:cs="Arial"/>
                <w:bCs/>
                <w:iCs/>
                <w:sz w:val="20"/>
              </w:rPr>
              <w:t>State Library</w:t>
            </w:r>
            <w:r w:rsidR="000C08AE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0C08AE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0C08AE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0C08AE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0C08AE" w:rsidRPr="00A55D00" w:rsidRDefault="00DE2470" w:rsidP="000C08AE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C08AE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0C08AE" w:rsidRPr="00CD5521">
              <w:rPr>
                <w:bCs/>
                <w:iCs/>
                <w:sz w:val="20"/>
              </w:rPr>
              <w:t xml:space="preserve"> A</w:t>
            </w:r>
            <w:r w:rsidR="000C08AE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0C08AE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1D44F4">
              <w:rPr>
                <w:rFonts w:cs="Arial"/>
                <w:bCs/>
                <w:iCs/>
                <w:sz w:val="20"/>
              </w:rPr>
              <w:t>State Library</w:t>
            </w:r>
            <w:r w:rsidR="000C08AE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0C08AE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0C08AE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X  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C08AE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F71331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F5BBE">
              <w:rPr>
                <w:rFonts w:cs="Arial"/>
                <w:b/>
                <w:color w:val="000080"/>
                <w:sz w:val="20"/>
              </w:rPr>
              <w:t xml:space="preserve"> Initial training of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71331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F71331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0C08AE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F5BBE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DF5BBE">
              <w:rPr>
                <w:rFonts w:cs="Arial"/>
                <w:b/>
                <w:color w:val="000080"/>
                <w:sz w:val="20"/>
              </w:rPr>
              <w:t>under general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F71331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F71331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F71331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F71331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A06B6F">
              <w:rPr>
                <w:rFonts w:cs="Arial"/>
                <w:sz w:val="20"/>
              </w:rPr>
              <w:t xml:space="preserve">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F71331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71331">
              <w:rPr>
                <w:rFonts w:cs="Arial"/>
                <w:bCs/>
                <w:iCs/>
                <w:color w:val="000080"/>
                <w:sz w:val="20"/>
              </w:rPr>
              <w:t xml:space="preserve">X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71331">
              <w:rPr>
                <w:rFonts w:cs="Arial"/>
                <w:bCs/>
                <w:iCs/>
                <w:color w:val="000080"/>
                <w:sz w:val="20"/>
              </w:rPr>
              <w:t xml:space="preserve">X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71331">
              <w:rPr>
                <w:rFonts w:cs="Arial"/>
                <w:bCs/>
                <w:iCs/>
                <w:color w:val="000080"/>
                <w:sz w:val="20"/>
              </w:rPr>
              <w:t xml:space="preserve">X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F71331">
              <w:rPr>
                <w:rFonts w:cs="Arial"/>
                <w:b/>
                <w:color w:val="000080"/>
                <w:sz w:val="20"/>
              </w:rPr>
              <w:t xml:space="preserve">Work zones to be assessed by supervisor before commencing work with equipment 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F71331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F71331" w:rsidRPr="005E17E1" w:rsidRDefault="00F71331" w:rsidP="00F71331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F71331" w:rsidRPr="005E17E1" w:rsidRDefault="00F71331" w:rsidP="00F71331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F71331" w:rsidRPr="00997FE4" w:rsidRDefault="00F71331" w:rsidP="00F71331">
            <w:pPr>
              <w:numPr>
                <w:ilvl w:val="0"/>
                <w:numId w:val="16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F71331" w:rsidRPr="00B70012" w:rsidRDefault="00F71331" w:rsidP="00F71331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F71331" w:rsidRDefault="00F71331" w:rsidP="00F7133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F71331" w:rsidRPr="002A6993" w:rsidRDefault="00F71331" w:rsidP="00F71331">
            <w:pPr>
              <w:numPr>
                <w:ilvl w:val="0"/>
                <w:numId w:val="8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F71331" w:rsidRDefault="00F71331" w:rsidP="00F71331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F71331" w:rsidRPr="002A6993" w:rsidRDefault="00F71331" w:rsidP="00F7133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F71331" w:rsidRPr="002A6993" w:rsidRDefault="00F71331" w:rsidP="00F71331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hot air guns,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F71331" w:rsidRDefault="00F71331" w:rsidP="00F71331">
            <w:pPr>
              <w:spacing w:before="360" w:after="60"/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F71331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F71331" w:rsidRPr="00A55D00" w:rsidRDefault="00F71331" w:rsidP="00F71331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F71331" w:rsidRPr="002A6993" w:rsidRDefault="00F71331" w:rsidP="00F71331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users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hot surfaces or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moving parts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F71331" w:rsidRPr="008B5791" w:rsidRDefault="00F71331" w:rsidP="00F71331">
            <w:pPr>
              <w:spacing w:before="120" w:after="60"/>
              <w:rPr>
                <w:sz w:val="16"/>
                <w:szCs w:val="16"/>
              </w:rPr>
            </w:pP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manufacturers standards and 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general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pre-flight checks and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procedures</w:t>
            </w:r>
          </w:p>
        </w:tc>
      </w:tr>
      <w:tr w:rsidR="00F71331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F71331" w:rsidRPr="00A55D00" w:rsidRDefault="00F71331" w:rsidP="00F71331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F71331" w:rsidRDefault="00F71331" w:rsidP="00F71331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members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F71331" w:rsidRPr="00A55D00" w:rsidRDefault="00F71331" w:rsidP="00F71331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F71331" w:rsidRPr="008B5791" w:rsidRDefault="00F71331" w:rsidP="00F71331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535598" w:rsidRPr="00A55D00" w:rsidTr="007A6FD2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535598" w:rsidRPr="00A55D00" w:rsidRDefault="00535598" w:rsidP="00535598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535598" w:rsidRPr="002A6993" w:rsidRDefault="00535598" w:rsidP="00535598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F71331" w:rsidP="00535598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F71331" w:rsidP="00535598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F7133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equipment and in SOP folder</w:t>
            </w:r>
          </w:p>
        </w:tc>
      </w:tr>
      <w:tr w:rsidR="00535598" w:rsidRPr="00A55D00" w:rsidTr="007A6FD2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535598" w:rsidRPr="002A6993" w:rsidRDefault="00535598" w:rsidP="00535598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535598" w:rsidRPr="002A6993" w:rsidRDefault="00535598" w:rsidP="00535598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 for workspaces where the hot air welding gun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F71331" w:rsidP="00535598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F71331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to assess requirements </w:t>
            </w:r>
          </w:p>
        </w:tc>
      </w:tr>
      <w:tr w:rsidR="00535598" w:rsidRPr="00A55D00" w:rsidTr="00034187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535598" w:rsidRPr="002A6993" w:rsidRDefault="00535598" w:rsidP="00535598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535598" w:rsidRPr="002A6993" w:rsidRDefault="00535598" w:rsidP="00535598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F71331" w:rsidP="00535598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F71331" w:rsidP="00535598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</w:p>
        </w:tc>
      </w:tr>
      <w:tr w:rsidR="00535598" w:rsidRPr="00A55D00" w:rsidTr="00034187">
        <w:trPr>
          <w:cantSplit/>
          <w:trHeight w:val="60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535598" w:rsidRPr="002A6993" w:rsidRDefault="00535598" w:rsidP="00535598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535598" w:rsidRPr="004D22AE" w:rsidRDefault="00535598" w:rsidP="00535598">
            <w:pPr>
              <w:numPr>
                <w:ilvl w:val="0"/>
                <w:numId w:val="1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535598" w:rsidRDefault="00535598" w:rsidP="00535598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Pr="002A6993" w:rsidRDefault="00535598" w:rsidP="00535598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A55D00" w:rsidRDefault="00F71331" w:rsidP="00535598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A55D00" w:rsidRDefault="00535598" w:rsidP="00535598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F71331" w:rsidRDefault="00F71331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</w:t>
            </w:r>
          </w:p>
          <w:p w:rsidR="00535598" w:rsidRPr="00F71331" w:rsidRDefault="00535598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935CC7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935CC7" w:rsidRDefault="00935CC7" w:rsidP="00935CC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935CC7" w:rsidRPr="005E17E1" w:rsidRDefault="00935CC7" w:rsidP="00935C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935CC7" w:rsidRDefault="00935CC7" w:rsidP="00935CC7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  <w:p w:rsidR="00935CC7" w:rsidRPr="00BD6FAB" w:rsidRDefault="00935CC7" w:rsidP="00935CC7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935CC7" w:rsidRPr="002A6993" w:rsidRDefault="00935CC7" w:rsidP="00935CC7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5CC7" w:rsidRPr="00A55D00" w:rsidRDefault="00935CC7" w:rsidP="00935CC7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5CC7" w:rsidRPr="00A55D00" w:rsidRDefault="00935CC7" w:rsidP="00935CC7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5CC7" w:rsidRPr="00112CF1" w:rsidRDefault="00935CC7" w:rsidP="00935CC7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935CC7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935CC7" w:rsidRPr="002A6993" w:rsidRDefault="00935CC7" w:rsidP="00935CC7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35CC7" w:rsidRDefault="00935CC7" w:rsidP="00935CC7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work spaces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where hot air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35CC7" w:rsidRPr="00A55D00" w:rsidRDefault="00935CC7" w:rsidP="00935CC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35CC7" w:rsidRPr="00A55D00" w:rsidRDefault="00935CC7" w:rsidP="00935CC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35CC7" w:rsidRPr="00112CF1" w:rsidRDefault="00935CC7" w:rsidP="00935CC7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935CC7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935CC7" w:rsidRPr="002A6993" w:rsidRDefault="00935CC7" w:rsidP="00935CC7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35CC7" w:rsidRDefault="00935CC7" w:rsidP="00935CC7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935CC7" w:rsidRDefault="00935CC7" w:rsidP="00935CC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5CC7" w:rsidRPr="00A55D00" w:rsidRDefault="00935CC7" w:rsidP="00935CC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5CC7" w:rsidRPr="00A55D00" w:rsidRDefault="00935CC7" w:rsidP="00935CC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5CC7" w:rsidRPr="00112CF1" w:rsidRDefault="00935CC7" w:rsidP="00935CC7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535598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535598" w:rsidRPr="002A503A" w:rsidRDefault="00535598" w:rsidP="00535598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535598" w:rsidRPr="002A6993" w:rsidRDefault="00535598" w:rsidP="00535598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535598" w:rsidRPr="002A6993" w:rsidRDefault="00535598" w:rsidP="0053559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535598" w:rsidRDefault="00535598" w:rsidP="00535598">
            <w:pPr>
              <w:numPr>
                <w:ilvl w:val="0"/>
                <w:numId w:val="10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535598" w:rsidRPr="00870CEC" w:rsidRDefault="00535598" w:rsidP="00535598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535598" w:rsidRPr="002A6993" w:rsidRDefault="00535598" w:rsidP="00535598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535598" w:rsidRPr="002A6993" w:rsidRDefault="00535598" w:rsidP="00535598">
            <w:pPr>
              <w:numPr>
                <w:ilvl w:val="0"/>
                <w:numId w:val="11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535598" w:rsidRDefault="00535598" w:rsidP="0053559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535598" w:rsidRDefault="00535598" w:rsidP="00535598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535598" w:rsidRDefault="00535598" w:rsidP="00535598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535598" w:rsidRDefault="00535598" w:rsidP="00535598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535598" w:rsidRPr="006A148F" w:rsidRDefault="00535598" w:rsidP="00535598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535598" w:rsidRPr="002A6993" w:rsidRDefault="00535598" w:rsidP="00535598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="00935CC7">
              <w:rPr>
                <w:rFonts w:cs="Arial"/>
                <w:sz w:val="18"/>
                <w:szCs w:val="18"/>
              </w:rPr>
              <w:t>eat</w:t>
            </w:r>
            <w:r>
              <w:rPr>
                <w:rFonts w:cs="Arial"/>
                <w:sz w:val="18"/>
                <w:szCs w:val="18"/>
              </w:rPr>
              <w:t xml:space="preserve"> guns </w:t>
            </w:r>
            <w:r w:rsidR="00935CC7">
              <w:rPr>
                <w:rFonts w:cs="Arial"/>
                <w:sz w:val="18"/>
                <w:szCs w:val="18"/>
              </w:rPr>
              <w:t>are regularly maintained to help minimise the risk of exposures t</w:t>
            </w:r>
            <w:r w:rsidR="00935CC7">
              <w:rPr>
                <w:rFonts w:cs="Arial"/>
                <w:iCs/>
                <w:sz w:val="18"/>
                <w:szCs w:val="18"/>
              </w:rPr>
              <w:t>o these hazards</w:t>
            </w:r>
            <w:r w:rsidR="00935CC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5598" w:rsidRPr="00A55D00" w:rsidRDefault="00935CC7" w:rsidP="00535598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535598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535598" w:rsidRPr="005E17E1" w:rsidRDefault="00535598" w:rsidP="0053559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35598" w:rsidRPr="006D497C" w:rsidRDefault="00535598" w:rsidP="0053559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935CC7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Service records </w:t>
            </w:r>
          </w:p>
        </w:tc>
      </w:tr>
      <w:tr w:rsidR="00535598" w:rsidRPr="00A55D00" w:rsidTr="00341AE2">
        <w:trPr>
          <w:cantSplit/>
          <w:trHeight w:val="621"/>
        </w:trPr>
        <w:tc>
          <w:tcPr>
            <w:tcW w:w="2661" w:type="dxa"/>
            <w:vMerge/>
          </w:tcPr>
          <w:p w:rsidR="00535598" w:rsidRPr="005E17E1" w:rsidRDefault="00535598" w:rsidP="0053559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35598" w:rsidRPr="004A7F5A" w:rsidRDefault="00535598" w:rsidP="00535598">
            <w:pPr>
              <w:numPr>
                <w:ilvl w:val="0"/>
                <w:numId w:val="2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935CC7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935CC7" w:rsidP="0053559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General safety induction </w:t>
            </w:r>
          </w:p>
        </w:tc>
      </w:tr>
      <w:tr w:rsidR="00535598" w:rsidRPr="00A55D00" w:rsidTr="00AE16FF">
        <w:trPr>
          <w:cantSplit/>
          <w:trHeight w:val="609"/>
        </w:trPr>
        <w:tc>
          <w:tcPr>
            <w:tcW w:w="2661" w:type="dxa"/>
            <w:vMerge/>
          </w:tcPr>
          <w:p w:rsidR="00535598" w:rsidRPr="005E17E1" w:rsidRDefault="00535598" w:rsidP="0053559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35598" w:rsidRPr="00E80C0E" w:rsidRDefault="00535598" w:rsidP="0053559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 ducted fume and vapour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systems are fully maintained,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cleaned and emptied,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operational.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935CC7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general housekeeping procedures</w:t>
            </w:r>
          </w:p>
        </w:tc>
      </w:tr>
      <w:tr w:rsidR="00535598" w:rsidRPr="00A55D00" w:rsidTr="00535598">
        <w:trPr>
          <w:cantSplit/>
          <w:trHeight w:val="952"/>
        </w:trPr>
        <w:tc>
          <w:tcPr>
            <w:tcW w:w="2661" w:type="dxa"/>
            <w:vMerge/>
          </w:tcPr>
          <w:p w:rsidR="00535598" w:rsidRPr="005E17E1" w:rsidRDefault="00535598" w:rsidP="0053559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35598" w:rsidRPr="004A7F5A" w:rsidRDefault="00535598" w:rsidP="0053559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935CC7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35598" w:rsidRPr="00A55D00" w:rsidRDefault="00535598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</w:t>
            </w:r>
          </w:p>
          <w:p w:rsidR="00535598" w:rsidRPr="00F71331" w:rsidRDefault="00535598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535598" w:rsidRPr="00A55D00" w:rsidTr="00317DB3">
        <w:trPr>
          <w:cantSplit/>
          <w:trHeight w:val="1277"/>
        </w:trPr>
        <w:tc>
          <w:tcPr>
            <w:tcW w:w="2661" w:type="dxa"/>
            <w:vMerge/>
          </w:tcPr>
          <w:p w:rsidR="00535598" w:rsidRPr="005E17E1" w:rsidRDefault="00535598" w:rsidP="0053559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535598" w:rsidRDefault="00535598" w:rsidP="00535598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535598" w:rsidRPr="002A6993" w:rsidRDefault="00535598" w:rsidP="00535598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A55D00" w:rsidRDefault="00935CC7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A55D00" w:rsidRDefault="00535598" w:rsidP="00535598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598" w:rsidRPr="00F71331" w:rsidRDefault="00935CC7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 provided </w:t>
            </w:r>
            <w:r w:rsidR="00F4573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SOP requirements </w:t>
            </w:r>
          </w:p>
          <w:p w:rsidR="00535598" w:rsidRPr="00F71331" w:rsidRDefault="00535598" w:rsidP="00535598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DE0666" w:rsidRPr="00A55D00" w:rsidTr="008F5631">
        <w:trPr>
          <w:cantSplit/>
          <w:trHeight w:val="639"/>
        </w:trPr>
        <w:tc>
          <w:tcPr>
            <w:tcW w:w="2661" w:type="dxa"/>
            <w:vMerge w:val="restart"/>
          </w:tcPr>
          <w:p w:rsidR="00DE0666" w:rsidRPr="002A6993" w:rsidRDefault="00DE0666" w:rsidP="00DE0666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DE0666" w:rsidRDefault="00DE0666" w:rsidP="00DE0666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DE0666" w:rsidRPr="005E17E1" w:rsidRDefault="00DE0666" w:rsidP="00DE06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E0666" w:rsidRDefault="00DE0666" w:rsidP="00DE0666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heat guns,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0666" w:rsidRPr="003501F8" w:rsidRDefault="00DE0666" w:rsidP="00DE0666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DE0666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DE0666" w:rsidRDefault="00DE0666" w:rsidP="00DE066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E0666" w:rsidRDefault="00DE0666" w:rsidP="00DE0666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E0666" w:rsidRPr="00112CF1" w:rsidRDefault="00DE0666" w:rsidP="00DE066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 test and tag for corded and battery charging units</w:t>
            </w:r>
          </w:p>
        </w:tc>
      </w:tr>
      <w:tr w:rsidR="00DE0666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DE0666" w:rsidRDefault="00DE0666" w:rsidP="00DE066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E0666" w:rsidRPr="00F361FB" w:rsidRDefault="00DE0666" w:rsidP="00DE0666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E0666" w:rsidRPr="00A55D00" w:rsidRDefault="00DE0666" w:rsidP="00DE066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E0666" w:rsidRPr="00112CF1" w:rsidRDefault="00DE0666" w:rsidP="00DE066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591034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591034" w:rsidRDefault="00591034" w:rsidP="00591034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591034" w:rsidRPr="00DF5BBE" w:rsidRDefault="00591034" w:rsidP="00591034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power tools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A55D00" w:rsidRDefault="00DE0666" w:rsidP="00591034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A55D00" w:rsidRDefault="00591034" w:rsidP="00591034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F71331" w:rsidRDefault="00DE0666" w:rsidP="0059103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  <w:p w:rsidR="00591034" w:rsidRPr="00F71331" w:rsidRDefault="00591034" w:rsidP="0059103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591034" w:rsidRPr="00A55D00" w:rsidTr="008F5631">
        <w:trPr>
          <w:cantSplit/>
          <w:trHeight w:val="189"/>
        </w:trPr>
        <w:tc>
          <w:tcPr>
            <w:tcW w:w="2661" w:type="dxa"/>
            <w:vMerge w:val="restart"/>
          </w:tcPr>
          <w:p w:rsidR="00591034" w:rsidRPr="005E17E1" w:rsidRDefault="00591034" w:rsidP="00591034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:rsidR="00591034" w:rsidRPr="00256A8E" w:rsidRDefault="00591034" w:rsidP="00591034">
            <w:pPr>
              <w:numPr>
                <w:ilvl w:val="0"/>
                <w:numId w:val="19"/>
              </w:numPr>
              <w:tabs>
                <w:tab w:val="clear" w:pos="644"/>
              </w:tabs>
              <w:spacing w:before="240"/>
              <w:ind w:left="317" w:hanging="317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 xml:space="preserve">, Burns and </w:t>
            </w:r>
            <w:r w:rsidRPr="00256A8E">
              <w:rPr>
                <w:b/>
                <w:sz w:val="20"/>
              </w:rPr>
              <w:t>Scalds</w:t>
            </w:r>
          </w:p>
          <w:p w:rsidR="00591034" w:rsidRPr="002C43BD" w:rsidRDefault="00591034" w:rsidP="0059103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 xml:space="preserve">be exposed to heating elements, exposed flame, flashback, molten metals or hot fluids likely to cause scalding or burning? Humid and hot work environments are often </w:t>
            </w:r>
            <w:r>
              <w:rPr>
                <w:sz w:val="18"/>
                <w:szCs w:val="18"/>
              </w:rPr>
              <w:lastRenderedPageBreak/>
              <w:t>uncomfortable resulting in stress and low productivity.</w:t>
            </w:r>
          </w:p>
          <w:p w:rsidR="00591034" w:rsidRDefault="00591034" w:rsidP="00591034">
            <w:pPr>
              <w:numPr>
                <w:ilvl w:val="0"/>
                <w:numId w:val="18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591034" w:rsidRDefault="00591034" w:rsidP="00591034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591034" w:rsidRDefault="00591034" w:rsidP="00591034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oils, greases, coolants, volatile vapours, fumes or airborne toxic particulates?</w:t>
            </w:r>
          </w:p>
          <w:p w:rsidR="00591034" w:rsidRPr="002568E6" w:rsidRDefault="00591034" w:rsidP="00591034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591034" w:rsidRPr="002A6993" w:rsidRDefault="00591034" w:rsidP="00591034">
            <w:pPr>
              <w:numPr>
                <w:ilvl w:val="0"/>
                <w:numId w:val="5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H</w:t>
            </w:r>
            <w:r w:rsidR="00DE0666">
              <w:rPr>
                <w:rFonts w:cs="Arial"/>
                <w:sz w:val="18"/>
                <w:szCs w:val="18"/>
              </w:rPr>
              <w:t>eat</w:t>
            </w:r>
            <w:r>
              <w:rPr>
                <w:rFonts w:cs="Arial"/>
                <w:sz w:val="18"/>
                <w:szCs w:val="18"/>
              </w:rPr>
              <w:t xml:space="preserve"> guns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>inspected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 xml:space="preserve">ed </w:t>
            </w:r>
            <w:r w:rsidRPr="006D497C">
              <w:rPr>
                <w:rFonts w:cs="Arial"/>
                <w:sz w:val="18"/>
                <w:szCs w:val="18"/>
              </w:rPr>
              <w:t xml:space="preserve">to help </w:t>
            </w:r>
            <w:r>
              <w:rPr>
                <w:rFonts w:cs="Arial"/>
                <w:iCs/>
                <w:sz w:val="18"/>
                <w:szCs w:val="18"/>
              </w:rPr>
              <w:t xml:space="preserve">minimise the risk of exposure to </w:t>
            </w:r>
            <w:r>
              <w:rPr>
                <w:rFonts w:cs="Arial"/>
                <w:sz w:val="18"/>
                <w:szCs w:val="18"/>
              </w:rPr>
              <w:t>the very hot metal surfaces generated at the nozzle and the extremely hot expelled air.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1034" w:rsidRPr="00F71331" w:rsidRDefault="00DE0666" w:rsidP="00591034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591034" w:rsidRPr="00A55D00" w:rsidTr="008F5631">
        <w:trPr>
          <w:cantSplit/>
          <w:trHeight w:val="446"/>
        </w:trPr>
        <w:tc>
          <w:tcPr>
            <w:tcW w:w="2661" w:type="dxa"/>
            <w:vMerge/>
          </w:tcPr>
          <w:p w:rsidR="00591034" w:rsidRPr="005E17E1" w:rsidRDefault="00591034" w:rsidP="00591034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91034" w:rsidRPr="006D497C" w:rsidRDefault="00591034" w:rsidP="0059103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tools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91034" w:rsidRPr="00F71331" w:rsidRDefault="00DE0666" w:rsidP="00591034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591034" w:rsidRPr="00A55D00" w:rsidTr="00CA2D1A">
        <w:trPr>
          <w:cantSplit/>
          <w:trHeight w:val="186"/>
        </w:trPr>
        <w:tc>
          <w:tcPr>
            <w:tcW w:w="2661" w:type="dxa"/>
            <w:vMerge/>
          </w:tcPr>
          <w:p w:rsidR="00591034" w:rsidRPr="005E17E1" w:rsidRDefault="00591034" w:rsidP="00591034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91034" w:rsidRPr="002A6993" w:rsidRDefault="00591034" w:rsidP="00591034">
            <w:pPr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 or toxic vapours resulting from this h</w:t>
            </w:r>
            <w:r w:rsidR="00DE0666">
              <w:rPr>
                <w:rFonts w:cs="Arial"/>
                <w:color w:val="000000"/>
                <w:sz w:val="18"/>
                <w:szCs w:val="18"/>
              </w:rPr>
              <w:t xml:space="preserve">eating </w:t>
            </w:r>
            <w:r>
              <w:rPr>
                <w:rFonts w:cs="Arial"/>
                <w:color w:val="000000"/>
                <w:sz w:val="18"/>
                <w:szCs w:val="18"/>
              </w:rPr>
              <w:t>process are monitored and managed.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91034" w:rsidRPr="00F71331" w:rsidRDefault="00DE0666" w:rsidP="00591034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Active supervision and general housekeeping procedures </w:t>
            </w:r>
          </w:p>
        </w:tc>
      </w:tr>
      <w:tr w:rsidR="00591034" w:rsidRPr="00A55D00" w:rsidTr="00591034">
        <w:trPr>
          <w:cantSplit/>
          <w:trHeight w:val="399"/>
        </w:trPr>
        <w:tc>
          <w:tcPr>
            <w:tcW w:w="2661" w:type="dxa"/>
            <w:vMerge/>
          </w:tcPr>
          <w:p w:rsidR="00591034" w:rsidRPr="005E17E1" w:rsidRDefault="00591034" w:rsidP="00591034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91034" w:rsidRDefault="00591034" w:rsidP="00591034">
            <w:pPr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DE0666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91034" w:rsidRPr="00F71331" w:rsidRDefault="00DE0666" w:rsidP="00591034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Safety induction </w:t>
            </w:r>
          </w:p>
        </w:tc>
      </w:tr>
      <w:tr w:rsidR="00591034" w:rsidRPr="00A55D00" w:rsidTr="00591034">
        <w:trPr>
          <w:cantSplit/>
          <w:trHeight w:val="778"/>
        </w:trPr>
        <w:tc>
          <w:tcPr>
            <w:tcW w:w="2661" w:type="dxa"/>
            <w:vMerge/>
          </w:tcPr>
          <w:p w:rsidR="00591034" w:rsidRPr="005E17E1" w:rsidRDefault="00591034" w:rsidP="00591034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91034" w:rsidRDefault="00591034" w:rsidP="00591034">
            <w:pPr>
              <w:numPr>
                <w:ilvl w:val="0"/>
                <w:numId w:val="5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 in all workspaces where the h</w:t>
            </w:r>
            <w:r w:rsidR="00DE0666">
              <w:rPr>
                <w:rFonts w:cs="Arial"/>
                <w:sz w:val="18"/>
                <w:szCs w:val="18"/>
              </w:rPr>
              <w:t>eat</w:t>
            </w:r>
            <w:r>
              <w:rPr>
                <w:rFonts w:cs="Arial"/>
                <w:sz w:val="18"/>
                <w:szCs w:val="18"/>
              </w:rPr>
              <w:t xml:space="preserve"> gun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591034" w:rsidRPr="00F71331" w:rsidRDefault="00DE0666" w:rsidP="00591034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To be assessed by the supervisor before use.</w:t>
            </w:r>
          </w:p>
        </w:tc>
      </w:tr>
      <w:tr w:rsidR="00591034" w:rsidRPr="00A55D00" w:rsidTr="00591034">
        <w:trPr>
          <w:cantSplit/>
          <w:trHeight w:val="1521"/>
        </w:trPr>
        <w:tc>
          <w:tcPr>
            <w:tcW w:w="2661" w:type="dxa"/>
            <w:vMerge/>
          </w:tcPr>
          <w:p w:rsidR="00591034" w:rsidRPr="005E17E1" w:rsidRDefault="00591034" w:rsidP="00591034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591034" w:rsidRPr="00194676" w:rsidRDefault="00591034" w:rsidP="00591034">
            <w:pPr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591034" w:rsidRDefault="00591034" w:rsidP="00591034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591034" w:rsidRPr="002A6993" w:rsidRDefault="00591034" w:rsidP="00591034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A55D00" w:rsidRDefault="00DE0666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A55D00" w:rsidRDefault="00591034" w:rsidP="0059103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1034" w:rsidRPr="00F71331" w:rsidRDefault="00DE0666" w:rsidP="00591034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</w:t>
            </w:r>
          </w:p>
        </w:tc>
      </w:tr>
      <w:tr w:rsidR="002603B5" w:rsidRPr="00A55D00" w:rsidTr="00591034">
        <w:trPr>
          <w:cantSplit/>
          <w:trHeight w:val="824"/>
        </w:trPr>
        <w:tc>
          <w:tcPr>
            <w:tcW w:w="2661" w:type="dxa"/>
            <w:vMerge w:val="restart"/>
          </w:tcPr>
          <w:p w:rsidR="002603B5" w:rsidRPr="005E17E1" w:rsidRDefault="002603B5" w:rsidP="002603B5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2603B5" w:rsidRPr="005E17E1" w:rsidRDefault="002603B5" w:rsidP="002603B5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2603B5" w:rsidRDefault="002603B5" w:rsidP="002603B5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2603B5" w:rsidRDefault="002603B5" w:rsidP="00260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work stations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2603B5" w:rsidRDefault="002603B5" w:rsidP="002603B5">
            <w:pPr>
              <w:rPr>
                <w:sz w:val="18"/>
                <w:szCs w:val="18"/>
              </w:rPr>
            </w:pPr>
          </w:p>
          <w:p w:rsidR="002603B5" w:rsidRPr="00BD6FAB" w:rsidRDefault="002603B5" w:rsidP="002603B5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603B5" w:rsidRPr="002A6993" w:rsidRDefault="002603B5" w:rsidP="002603B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112CF1" w:rsidRDefault="002603B5" w:rsidP="002603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  <w:r w:rsidR="00861F88">
              <w:rPr>
                <w:rFonts w:cs="Arial"/>
                <w:b/>
                <w:color w:val="000080"/>
                <w:sz w:val="16"/>
                <w:szCs w:val="16"/>
              </w:rPr>
              <w:t>. As per workspace risk assessment.</w:t>
            </w:r>
          </w:p>
        </w:tc>
      </w:tr>
      <w:tr w:rsidR="002603B5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603B5" w:rsidRPr="002A6993" w:rsidRDefault="002603B5" w:rsidP="002603B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603B5" w:rsidRPr="00112CF1" w:rsidRDefault="002603B5" w:rsidP="002603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Supervisor to assess </w:t>
            </w:r>
            <w:proofErr w:type="gramStart"/>
            <w:r>
              <w:rPr>
                <w:rFonts w:cs="Arial"/>
                <w:b/>
                <w:color w:val="000080"/>
                <w:sz w:val="16"/>
                <w:szCs w:val="16"/>
              </w:rPr>
              <w:t>work space</w:t>
            </w:r>
            <w:proofErr w:type="gramEnd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2603B5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603B5" w:rsidRPr="002A6993" w:rsidRDefault="002603B5" w:rsidP="002603B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603B5" w:rsidRPr="00112CF1" w:rsidRDefault="002603B5" w:rsidP="002603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2603B5" w:rsidRPr="00A55D00" w:rsidTr="00253231">
        <w:trPr>
          <w:cantSplit/>
          <w:trHeight w:val="796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2603B5" w:rsidRDefault="002603B5" w:rsidP="002603B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112CF1" w:rsidRDefault="002603B5" w:rsidP="002603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training.</w:t>
            </w:r>
          </w:p>
        </w:tc>
      </w:tr>
      <w:tr w:rsidR="002603B5" w:rsidRPr="00A55D00" w:rsidTr="00DF5BBE">
        <w:trPr>
          <w:cantSplit/>
          <w:trHeight w:val="914"/>
        </w:trPr>
        <w:tc>
          <w:tcPr>
            <w:tcW w:w="2661" w:type="dxa"/>
            <w:vMerge w:val="restart"/>
          </w:tcPr>
          <w:p w:rsidR="002603B5" w:rsidRPr="002A6993" w:rsidRDefault="002603B5" w:rsidP="002603B5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2603B5" w:rsidRDefault="002603B5" w:rsidP="002603B5">
            <w:pPr>
              <w:spacing w:before="24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 consequence of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2603B5" w:rsidRDefault="002603B5" w:rsidP="002603B5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2603B5" w:rsidRDefault="002603B5" w:rsidP="002603B5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2603B5" w:rsidRDefault="002603B5" w:rsidP="002603B5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2603B5" w:rsidRDefault="002603B5" w:rsidP="002603B5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2603B5" w:rsidRDefault="002603B5" w:rsidP="002603B5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F45739" w:rsidRPr="00F45739" w:rsidRDefault="00F45739" w:rsidP="00F457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603B5" w:rsidRPr="002A6993" w:rsidRDefault="002603B5" w:rsidP="002603B5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03B5" w:rsidRPr="00112CF1" w:rsidRDefault="002603B5" w:rsidP="002603B5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2603B5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603B5" w:rsidRDefault="002603B5" w:rsidP="002603B5">
            <w:pPr>
              <w:numPr>
                <w:ilvl w:val="0"/>
                <w:numId w:val="4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603B5" w:rsidRPr="00112CF1" w:rsidRDefault="002603B5" w:rsidP="002603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2603B5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603B5" w:rsidRDefault="002603B5" w:rsidP="002603B5">
            <w:pPr>
              <w:numPr>
                <w:ilvl w:val="0"/>
                <w:numId w:val="4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603B5" w:rsidRPr="00A23141" w:rsidRDefault="002603B5" w:rsidP="002603B5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2603B5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2603B5" w:rsidRDefault="002603B5" w:rsidP="002603B5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2603B5" w:rsidRDefault="002603B5" w:rsidP="002603B5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2603B5" w:rsidRPr="00253231" w:rsidRDefault="002603B5" w:rsidP="002603B5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A55D00" w:rsidRDefault="002603B5" w:rsidP="002603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03B5" w:rsidRPr="00A23141" w:rsidRDefault="002603B5" w:rsidP="002603B5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0D7640" w:rsidRDefault="000D7640" w:rsidP="00D30FA1"/>
          <w:p w:rsidR="000D7640" w:rsidRPr="00D30FA1" w:rsidRDefault="000D7640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F71331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F71331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D44F4">
              <w:rPr>
                <w:rFonts w:cs="Arial"/>
                <w:b/>
                <w:color w:val="000080"/>
                <w:sz w:val="22"/>
              </w:rPr>
            </w:r>
            <w:r w:rsidR="001D44F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D44F4">
              <w:rPr>
                <w:rFonts w:cs="Arial"/>
                <w:b/>
                <w:color w:val="000080"/>
                <w:sz w:val="22"/>
              </w:rPr>
            </w:r>
            <w:r w:rsidR="001D44F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D44F4">
              <w:rPr>
                <w:rFonts w:cs="Arial"/>
                <w:b/>
                <w:color w:val="000080"/>
                <w:sz w:val="22"/>
              </w:rPr>
            </w:r>
            <w:r w:rsidR="001D44F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591034" w:rsidRDefault="00591034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91034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F71331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91034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CA5907">
            <w:pPr>
              <w:numPr>
                <w:ilvl w:val="0"/>
                <w:numId w:val="14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0D7640" w:rsidRDefault="000D7640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F71331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F71331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F71331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F71331" w:rsidP="00CA5907">
            <w:pPr>
              <w:numPr>
                <w:ilvl w:val="0"/>
                <w:numId w:val="1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</w:r>
            <w:r w:rsidR="001D44F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F71331" w:rsidRDefault="00F71331" w:rsidP="00F71331">
      <w:pPr>
        <w:tabs>
          <w:tab w:val="left" w:pos="413"/>
        </w:tabs>
      </w:pPr>
    </w:p>
    <w:p w:rsidR="00302C75" w:rsidRDefault="00302C75" w:rsidP="00F71331">
      <w:pPr>
        <w:tabs>
          <w:tab w:val="left" w:pos="413"/>
        </w:tabs>
      </w:pPr>
    </w:p>
    <w:p w:rsidR="00302C75" w:rsidRDefault="00302C75" w:rsidP="00F71331">
      <w:pPr>
        <w:tabs>
          <w:tab w:val="left" w:pos="413"/>
        </w:tabs>
      </w:pPr>
    </w:p>
    <w:p w:rsidR="00302C75" w:rsidRPr="002A5F92" w:rsidRDefault="00302C75" w:rsidP="00302C75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302C75" w:rsidRPr="002A5F92" w:rsidRDefault="00302C75" w:rsidP="00302C75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302C75" w:rsidRPr="002A5F92" w:rsidRDefault="00302C75" w:rsidP="00302C75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7EE4F54D" wp14:editId="30A39105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0DFF4503" wp14:editId="15072F8D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75" w:rsidRDefault="00302C75" w:rsidP="00302C75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302C75" w:rsidRDefault="00302C75" w:rsidP="00302C75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302C75" w:rsidRDefault="00302C75" w:rsidP="00F71331">
      <w:pPr>
        <w:tabs>
          <w:tab w:val="left" w:pos="413"/>
        </w:tabs>
      </w:pPr>
    </w:p>
    <w:p w:rsidR="00302C75" w:rsidRPr="00F71331" w:rsidRDefault="00302C75" w:rsidP="00F71331">
      <w:pPr>
        <w:tabs>
          <w:tab w:val="left" w:pos="413"/>
        </w:tabs>
      </w:pPr>
    </w:p>
    <w:sectPr w:rsidR="00302C75" w:rsidRPr="00F71331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8AE" w:rsidRDefault="000C08AE">
      <w:r>
        <w:separator/>
      </w:r>
    </w:p>
  </w:endnote>
  <w:endnote w:type="continuationSeparator" w:id="0">
    <w:p w:rsidR="000C08AE" w:rsidRDefault="000C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302C75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302C75" w:rsidRPr="00FF7507" w:rsidRDefault="00302C75" w:rsidP="00302C75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302C75" w:rsidRPr="00FF7507" w:rsidRDefault="00302C75" w:rsidP="00302C75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302C75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302C75" w:rsidRPr="00FF7507" w:rsidRDefault="00302C75" w:rsidP="00302C75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302C75" w:rsidRPr="00FF7507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302C75" w:rsidRPr="00FF7507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302C75" w:rsidRPr="00FF7507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302C75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302C75" w:rsidRPr="00FF7507" w:rsidRDefault="00302C75" w:rsidP="00302C75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302C75" w:rsidRPr="00FF7507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302C75" w:rsidRPr="00DC1FE1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302C75" w:rsidRDefault="00302C75" w:rsidP="00302C75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0C08AE" w:rsidRPr="00302C75" w:rsidRDefault="000C08AE" w:rsidP="00302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8AE" w:rsidRDefault="000C08AE">
      <w:r>
        <w:separator/>
      </w:r>
    </w:p>
  </w:footnote>
  <w:footnote w:type="continuationSeparator" w:id="0">
    <w:p w:rsidR="000C08AE" w:rsidRDefault="000C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32BE3"/>
    <w:multiLevelType w:val="hybridMultilevel"/>
    <w:tmpl w:val="BCBC12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7"/>
  </w:num>
  <w:num w:numId="5">
    <w:abstractNumId w:val="1"/>
  </w:num>
  <w:num w:numId="6">
    <w:abstractNumId w:val="8"/>
  </w:num>
  <w:num w:numId="7">
    <w:abstractNumId w:val="12"/>
  </w:num>
  <w:num w:numId="8">
    <w:abstractNumId w:val="19"/>
  </w:num>
  <w:num w:numId="9">
    <w:abstractNumId w:val="4"/>
  </w:num>
  <w:num w:numId="10">
    <w:abstractNumId w:val="18"/>
  </w:num>
  <w:num w:numId="11">
    <w:abstractNumId w:val="15"/>
  </w:num>
  <w:num w:numId="12">
    <w:abstractNumId w:val="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3"/>
  </w:num>
  <w:num w:numId="17">
    <w:abstractNumId w:val="6"/>
  </w:num>
  <w:num w:numId="18">
    <w:abstractNumId w:val="7"/>
  </w:num>
  <w:num w:numId="19">
    <w:abstractNumId w:val="9"/>
  </w:num>
  <w:num w:numId="20">
    <w:abstractNumId w:val="14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08AE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F53"/>
    <w:rsid w:val="001047B1"/>
    <w:rsid w:val="00106FCB"/>
    <w:rsid w:val="00111FF8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4F22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D44F4"/>
    <w:rsid w:val="001E160C"/>
    <w:rsid w:val="001E4424"/>
    <w:rsid w:val="001E55B6"/>
    <w:rsid w:val="001E5828"/>
    <w:rsid w:val="001E7147"/>
    <w:rsid w:val="001E72B1"/>
    <w:rsid w:val="001F2D4B"/>
    <w:rsid w:val="001F3DD4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603B5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2C75"/>
    <w:rsid w:val="003036BB"/>
    <w:rsid w:val="003039EF"/>
    <w:rsid w:val="00303E70"/>
    <w:rsid w:val="0030684D"/>
    <w:rsid w:val="0030786F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5DC2"/>
    <w:rsid w:val="00485FA1"/>
    <w:rsid w:val="00497873"/>
    <w:rsid w:val="004A19B9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3760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35598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1034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931AA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1F88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4D7E"/>
    <w:rsid w:val="00935CC7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907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703DD"/>
    <w:rsid w:val="00D70C5A"/>
    <w:rsid w:val="00D766C4"/>
    <w:rsid w:val="00D776FD"/>
    <w:rsid w:val="00D807F4"/>
    <w:rsid w:val="00D8439F"/>
    <w:rsid w:val="00D8586F"/>
    <w:rsid w:val="00D937A5"/>
    <w:rsid w:val="00D93DD6"/>
    <w:rsid w:val="00D9427C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0666"/>
    <w:rsid w:val="00DE185F"/>
    <w:rsid w:val="00DE2470"/>
    <w:rsid w:val="00DE527D"/>
    <w:rsid w:val="00DF1039"/>
    <w:rsid w:val="00DF1843"/>
    <w:rsid w:val="00DF18EC"/>
    <w:rsid w:val="00DF5987"/>
    <w:rsid w:val="00DF5BBE"/>
    <w:rsid w:val="00E0202A"/>
    <w:rsid w:val="00E058FD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3740D"/>
    <w:rsid w:val="00F401D0"/>
    <w:rsid w:val="00F427CD"/>
    <w:rsid w:val="00F43C2D"/>
    <w:rsid w:val="00F4458C"/>
    <w:rsid w:val="00F45739"/>
    <w:rsid w:val="00F4691E"/>
    <w:rsid w:val="00F500E3"/>
    <w:rsid w:val="00F53ECE"/>
    <w:rsid w:val="00F54F4C"/>
    <w:rsid w:val="00F57715"/>
    <w:rsid w:val="00F57EF7"/>
    <w:rsid w:val="00F675CC"/>
    <w:rsid w:val="00F71331"/>
    <w:rsid w:val="00F74C58"/>
    <w:rsid w:val="00F81B84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E74FA41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5598"/>
    <w:rPr>
      <w:rFonts w:eastAsia="SimSun"/>
      <w:lang w:eastAsia="zh-CN"/>
    </w:rPr>
  </w:style>
  <w:style w:type="character" w:customStyle="1" w:styleId="FooterChar">
    <w:name w:val="Footer Char"/>
    <w:basedOn w:val="DefaultParagraphFont"/>
    <w:link w:val="Footer"/>
    <w:rsid w:val="004A19B9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08CF-BE7D-44C7-9EA6-F297E05EB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1F53E-5DE4-47B1-B079-779C58BAF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74977-1E1E-42E7-9695-9FCC4EE4B0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14f5df-7614-43c1-ba8e-2daa6e5371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A07132-B322-481E-8FE5-79A14F06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3817</TotalTime>
  <Pages>8</Pages>
  <Words>2280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Hot air welder</vt:lpstr>
    </vt:vector>
  </TitlesOfParts>
  <Company>DETE, Education Queensland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Hot air welder</dc:title>
  <dc:creator>CLARK, Brian</dc:creator>
  <cp:keywords>DETE, Education Queensland</cp:keywords>
  <cp:lastModifiedBy>Andrei Maberley</cp:lastModifiedBy>
  <cp:revision>9</cp:revision>
  <cp:lastPrinted>2011-10-11T01:20:00Z</cp:lastPrinted>
  <dcterms:created xsi:type="dcterms:W3CDTF">2020-02-07T03:00:00Z</dcterms:created>
  <dcterms:modified xsi:type="dcterms:W3CDTF">2020-10-12T04:17:00Z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