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1849132</wp:posOffset>
                </wp:positionH>
                <wp:positionV relativeFrom="paragraph">
                  <wp:posOffset>533197</wp:posOffset>
                </wp:positionV>
                <wp:extent cx="2872596" cy="414068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414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4E8A" w:rsidRPr="00932BA8" w:rsidRDefault="00A14E8A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CIRCULAR SAW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5.6pt;margin-top:42pt;width:226.2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" filled="f" stroked="f" strokeweight=".5pt">
                <v:textbox>
                  <w:txbxContent>
                    <w:p w:rsidR="00A14E8A" w:rsidRPr="00932BA8" w:rsidRDefault="00A14E8A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CIRCULAR SAW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177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623525" w:rsidP="00F6568F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107950" distL="114300" distR="114300" simplePos="0" relativeHeight="251667968" behindDoc="1" locked="0" layoutInCell="1" allowOverlap="1" wp14:anchorId="36B010A6" wp14:editId="1B7B7E62">
            <wp:simplePos x="0" y="0"/>
            <wp:positionH relativeFrom="margin">
              <wp:align>right</wp:align>
            </wp:positionH>
            <wp:positionV relativeFrom="paragraph">
              <wp:posOffset>35904</wp:posOffset>
            </wp:positionV>
            <wp:extent cx="1555115" cy="1555115"/>
            <wp:effectExtent l="0" t="0" r="6985" b="698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ar Saw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011CD0" w:rsidRPr="00011CD0" w:rsidRDefault="00011CD0" w:rsidP="00011CD0"/>
    <w:p w:rsidR="00F6568F" w:rsidRPr="00203A00" w:rsidRDefault="00F6568F" w:rsidP="00F6568F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8F1BFA" w:rsidRPr="008F1BFA">
        <w:rPr>
          <w:b/>
          <w:color w:val="FF0000"/>
          <w:sz w:val="20"/>
        </w:rPr>
        <w:t>State Library of Queensland</w:t>
      </w:r>
      <w:r w:rsidR="001E5A3C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F6568F" w:rsidRPr="002533FD" w:rsidRDefault="00F6568F" w:rsidP="00F6568F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F6568F" w:rsidRPr="00F6568F" w:rsidRDefault="00F6568F" w:rsidP="00F656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F6568F">
              <w:rPr>
                <w:rFonts w:cs="Arial"/>
                <w:b/>
                <w:color w:val="000080"/>
                <w:sz w:val="20"/>
              </w:rPr>
              <w:t>Ryobi Circular Saw 18V battery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6568F">
              <w:rPr>
                <w:rFonts w:cs="Arial"/>
                <w:b/>
                <w:color w:val="000080"/>
                <w:sz w:val="20"/>
              </w:rPr>
              <w:t xml:space="preserve">Daniel Flood 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6568F">
              <w:rPr>
                <w:rFonts w:cs="Arial"/>
                <w:b/>
                <w:color w:val="000080"/>
                <w:sz w:val="20"/>
              </w:rPr>
              <w:t>The Edge 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6568F">
              <w:rPr>
                <w:rFonts w:cs="Arial"/>
                <w:b/>
                <w:color w:val="000080"/>
                <w:sz w:val="20"/>
              </w:rPr>
              <w:t>0</w:t>
            </w:r>
            <w:r w:rsidR="00340C46">
              <w:rPr>
                <w:rFonts w:cs="Arial"/>
                <w:b/>
                <w:color w:val="000080"/>
                <w:sz w:val="20"/>
              </w:rPr>
              <w:t>2</w:t>
            </w:r>
            <w:r w:rsidR="00F6568F">
              <w:rPr>
                <w:rFonts w:cs="Arial"/>
                <w:b/>
                <w:color w:val="000080"/>
                <w:sz w:val="20"/>
              </w:rPr>
              <w:t>/0</w:t>
            </w:r>
            <w:r w:rsidR="00340C46">
              <w:rPr>
                <w:rFonts w:cs="Arial"/>
                <w:b/>
                <w:color w:val="000080"/>
                <w:sz w:val="20"/>
              </w:rPr>
              <w:t>3</w:t>
            </w:r>
            <w:r w:rsidR="00F6568F">
              <w:rPr>
                <w:rFonts w:cs="Arial"/>
                <w:b/>
                <w:color w:val="000080"/>
                <w:sz w:val="20"/>
              </w:rPr>
              <w:t>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6568F">
              <w:rPr>
                <w:rFonts w:cs="Arial"/>
                <w:b/>
                <w:color w:val="000080"/>
                <w:sz w:val="20"/>
              </w:rPr>
              <w:t>0</w:t>
            </w:r>
            <w:r w:rsidR="00340C46">
              <w:rPr>
                <w:rFonts w:cs="Arial"/>
                <w:b/>
                <w:color w:val="000080"/>
                <w:sz w:val="20"/>
              </w:rPr>
              <w:t>2</w:t>
            </w:r>
            <w:r w:rsidR="00F6568F">
              <w:rPr>
                <w:rFonts w:cs="Arial"/>
                <w:b/>
                <w:color w:val="000080"/>
                <w:sz w:val="20"/>
              </w:rPr>
              <w:t>/0</w:t>
            </w:r>
            <w:r w:rsidR="00340C46">
              <w:rPr>
                <w:rFonts w:cs="Arial"/>
                <w:b/>
                <w:color w:val="000080"/>
                <w:sz w:val="20"/>
              </w:rPr>
              <w:t>3</w:t>
            </w:r>
            <w:r w:rsidR="00F6568F">
              <w:rPr>
                <w:rFonts w:cs="Arial"/>
                <w:b/>
                <w:color w:val="000080"/>
                <w:sz w:val="20"/>
              </w:rPr>
              <w:t>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CD5795" w:rsidRPr="00A55D00" w:rsidTr="00CD5795">
        <w:trPr>
          <w:trHeight w:val="3154"/>
        </w:trPr>
        <w:tc>
          <w:tcPr>
            <w:tcW w:w="562" w:type="dxa"/>
            <w:shd w:val="clear" w:color="auto" w:fill="auto"/>
            <w:vAlign w:val="center"/>
          </w:tcPr>
          <w:p w:rsidR="00CD5795" w:rsidRDefault="00CD5795" w:rsidP="00CD5795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D5795" w:rsidRPr="001A209C" w:rsidRDefault="00CD5795" w:rsidP="00CD5795">
            <w:pPr>
              <w:rPr>
                <w:szCs w:val="22"/>
              </w:rPr>
            </w:pPr>
            <w:r w:rsidRPr="001A209C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961" w:type="dxa"/>
            <w:vAlign w:val="center"/>
          </w:tcPr>
          <w:p w:rsidR="00CD5795" w:rsidRPr="00847622" w:rsidRDefault="00CD5795" w:rsidP="00CD5795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cut</w:t>
            </w:r>
            <w:r w:rsidRPr="00847622">
              <w:rPr>
                <w:color w:val="000000"/>
                <w:sz w:val="20"/>
              </w:rPr>
              <w:t xml:space="preserve">ting thin stock or panels with the blade protruding no more than 8mm below the underneath surface.   </w:t>
            </w:r>
          </w:p>
          <w:p w:rsidR="00CD5795" w:rsidRDefault="00CD5795" w:rsidP="00CD5795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a straightedge is clamped to the work surface to guide the saw for a true, clean cut. The saw </w:t>
            </w:r>
            <w:r w:rsidRPr="00252D68">
              <w:rPr>
                <w:color w:val="000000"/>
                <w:sz w:val="20"/>
              </w:rPr>
              <w:t xml:space="preserve">may kick back if </w:t>
            </w:r>
            <w:r>
              <w:rPr>
                <w:color w:val="000000"/>
                <w:sz w:val="20"/>
              </w:rPr>
              <w:t xml:space="preserve">the material is </w:t>
            </w:r>
            <w:r w:rsidRPr="00252D68">
              <w:rPr>
                <w:color w:val="000000"/>
                <w:sz w:val="20"/>
              </w:rPr>
              <w:t>not properly secured.</w:t>
            </w:r>
          </w:p>
          <w:p w:rsidR="00CD5795" w:rsidRPr="00CD34D8" w:rsidRDefault="00CD5795" w:rsidP="00CD5795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12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</w:t>
            </w:r>
            <w:r w:rsidR="00F6568F">
              <w:rPr>
                <w:color w:val="000000"/>
                <w:sz w:val="20"/>
              </w:rPr>
              <w:t>members</w:t>
            </w:r>
            <w:r>
              <w:rPr>
                <w:color w:val="000000"/>
                <w:sz w:val="20"/>
              </w:rPr>
              <w:t xml:space="preserve"> are under close, direct supervision.</w:t>
            </w:r>
          </w:p>
        </w:tc>
        <w:tc>
          <w:tcPr>
            <w:tcW w:w="3285" w:type="dxa"/>
            <w:vAlign w:val="center"/>
          </w:tcPr>
          <w:p w:rsidR="00CD5795" w:rsidRPr="001A22D5" w:rsidRDefault="00CD5795" w:rsidP="00CD5795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6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  <w:p w:rsidR="00CD5795" w:rsidRPr="00A55D00" w:rsidRDefault="00CD5795" w:rsidP="00CD5795">
            <w:pPr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60"/>
              <w:ind w:left="300" w:hanging="357"/>
              <w:rPr>
                <w:sz w:val="20"/>
              </w:rPr>
            </w:pPr>
            <w:r w:rsidRPr="00A55D00">
              <w:rPr>
                <w:sz w:val="20"/>
              </w:rPr>
              <w:t>Consider obtaining parental permission.</w:t>
            </w:r>
          </w:p>
        </w:tc>
      </w:tr>
      <w:tr w:rsidR="00CD5795" w:rsidRPr="00A55D00" w:rsidTr="00CD5795">
        <w:trPr>
          <w:trHeight w:val="2684"/>
        </w:trPr>
        <w:tc>
          <w:tcPr>
            <w:tcW w:w="562" w:type="dxa"/>
            <w:shd w:val="clear" w:color="auto" w:fill="auto"/>
            <w:vAlign w:val="center"/>
          </w:tcPr>
          <w:p w:rsidR="00CD5795" w:rsidRDefault="00CD5795" w:rsidP="00CD5795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CD5795" w:rsidRPr="001A209C" w:rsidRDefault="00CD5795" w:rsidP="00CD5795">
            <w:pPr>
              <w:rPr>
                <w:szCs w:val="22"/>
              </w:rPr>
            </w:pPr>
            <w:r w:rsidRPr="001A209C">
              <w:rPr>
                <w:b/>
                <w:color w:val="FFFFFF"/>
                <w:sz w:val="22"/>
                <w:szCs w:val="22"/>
              </w:rPr>
              <w:t>High</w:t>
            </w:r>
          </w:p>
        </w:tc>
        <w:tc>
          <w:tcPr>
            <w:tcW w:w="4961" w:type="dxa"/>
            <w:vAlign w:val="center"/>
          </w:tcPr>
          <w:p w:rsidR="00CD5795" w:rsidRPr="00847622" w:rsidRDefault="00CD5795" w:rsidP="00CD5795">
            <w:pPr>
              <w:numPr>
                <w:ilvl w:val="0"/>
                <w:numId w:val="28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 w:rsidRPr="00CD34D8">
              <w:rPr>
                <w:color w:val="000000"/>
                <w:sz w:val="20"/>
              </w:rPr>
              <w:t xml:space="preserve">When the </w:t>
            </w:r>
            <w:r>
              <w:rPr>
                <w:color w:val="000000"/>
                <w:sz w:val="20"/>
              </w:rPr>
              <w:t xml:space="preserve">saw </w:t>
            </w:r>
            <w:r w:rsidRPr="00CD34D8">
              <w:rPr>
                <w:color w:val="000000"/>
                <w:sz w:val="20"/>
              </w:rPr>
              <w:t>blade is extended f</w:t>
            </w:r>
            <w:r>
              <w:rPr>
                <w:color w:val="000000"/>
                <w:sz w:val="20"/>
              </w:rPr>
              <w:t xml:space="preserve">or cutting thicker stock or for cutting acrylic sheet.  </w:t>
            </w:r>
          </w:p>
          <w:p w:rsidR="00CD5795" w:rsidRPr="00CD3E55" w:rsidRDefault="00CD5795" w:rsidP="00CD5795">
            <w:pPr>
              <w:numPr>
                <w:ilvl w:val="0"/>
                <w:numId w:val="28"/>
              </w:numPr>
              <w:tabs>
                <w:tab w:val="clear" w:pos="720"/>
                <w:tab w:val="num" w:pos="284"/>
              </w:tabs>
              <w:spacing w:before="60" w:after="40"/>
              <w:ind w:left="284" w:hanging="284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When </w:t>
            </w:r>
            <w:r w:rsidRPr="00847622">
              <w:rPr>
                <w:rFonts w:cs="Arial"/>
                <w:color w:val="000000"/>
                <w:sz w:val="20"/>
              </w:rPr>
              <w:t xml:space="preserve">the </w:t>
            </w:r>
            <w:r>
              <w:rPr>
                <w:rFonts w:cs="Arial"/>
                <w:color w:val="000000"/>
                <w:sz w:val="20"/>
              </w:rPr>
              <w:t xml:space="preserve">blade </w:t>
            </w:r>
            <w:r w:rsidRPr="00847622">
              <w:rPr>
                <w:rFonts w:cs="Arial"/>
                <w:color w:val="000000"/>
                <w:sz w:val="20"/>
              </w:rPr>
              <w:t xml:space="preserve">guard </w:t>
            </w:r>
            <w:r>
              <w:rPr>
                <w:rFonts w:cs="Arial"/>
                <w:color w:val="000000"/>
                <w:sz w:val="20"/>
              </w:rPr>
              <w:t>needs to be held back by hand to begin a cut.</w:t>
            </w:r>
          </w:p>
          <w:p w:rsidR="00CD5795" w:rsidRDefault="00CD5795" w:rsidP="00CD5795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4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cutting</w:t>
            </w:r>
            <w:r w:rsidRPr="00252D68">
              <w:rPr>
                <w:color w:val="000000"/>
                <w:sz w:val="20"/>
              </w:rPr>
              <w:t xml:space="preserve"> dense hardwood</w:t>
            </w:r>
            <w:r>
              <w:rPr>
                <w:color w:val="000000"/>
                <w:sz w:val="20"/>
              </w:rPr>
              <w:t>s likely cause severe kickback.</w:t>
            </w:r>
          </w:p>
          <w:p w:rsidR="00CD5795" w:rsidRPr="00390F58" w:rsidRDefault="00CD5795" w:rsidP="00F6568F">
            <w:pPr>
              <w:tabs>
                <w:tab w:val="left" w:pos="284"/>
              </w:tabs>
              <w:spacing w:before="60" w:after="40"/>
              <w:ind w:left="284"/>
              <w:rPr>
                <w:color w:val="000000"/>
                <w:sz w:val="20"/>
              </w:rPr>
            </w:pPr>
          </w:p>
        </w:tc>
        <w:tc>
          <w:tcPr>
            <w:tcW w:w="3285" w:type="dxa"/>
            <w:vAlign w:val="center"/>
          </w:tcPr>
          <w:p w:rsidR="00CD5795" w:rsidRPr="001A22D5" w:rsidRDefault="00CD5795" w:rsidP="00CD5795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>A</w:t>
            </w:r>
            <w:r w:rsidRPr="001A22D5">
              <w:t xml:space="preserve"> </w:t>
            </w:r>
            <w:r w:rsidRPr="00A55D00">
              <w:rPr>
                <w:i/>
              </w:rPr>
              <w:t>Plant Risk Assessment</w:t>
            </w:r>
            <w:r w:rsidRPr="001A22D5">
              <w:t xml:space="preserve"> is required to be completed.</w:t>
            </w:r>
          </w:p>
          <w:p w:rsidR="00CD5795" w:rsidRPr="001A22D5" w:rsidRDefault="00F6568F" w:rsidP="00CD5795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 xml:space="preserve">Supervisor </w:t>
            </w:r>
            <w:r w:rsidR="00CD5795" w:rsidRPr="001A22D5">
              <w:t>approval prior to conducting this activity is required.</w:t>
            </w:r>
          </w:p>
          <w:p w:rsidR="00CD5795" w:rsidRPr="001A22D5" w:rsidRDefault="00F6568F" w:rsidP="00CD5795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>A Job Safe Analysis (JSA)</w:t>
            </w:r>
            <w:r w:rsidR="00CD5795" w:rsidRPr="001A22D5">
              <w:t xml:space="preserve"> is recommended.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6568F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1E5A3C">
              <w:rPr>
                <w:rFonts w:cs="Arial"/>
                <w:bCs/>
                <w:iCs/>
                <w:sz w:val="20"/>
              </w:rPr>
              <w:t>State Library</w:t>
            </w:r>
            <w:r w:rsidR="00F6568F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F6568F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F6568F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F6568F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 xml:space="preserve">X  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F6568F" w:rsidRPr="00A55D00" w:rsidRDefault="00F6568F" w:rsidP="00F6568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 w:rsidRPr="00A55D00">
              <w:rPr>
                <w:bCs/>
                <w:iCs/>
                <w:color w:val="000080"/>
                <w:sz w:val="20"/>
              </w:rPr>
              <w:tab/>
            </w:r>
            <w:r w:rsidR="00DE2470">
              <w:rPr>
                <w:bCs/>
                <w:iCs/>
                <w:color w:val="000080"/>
                <w:sz w:val="20"/>
              </w:rPr>
              <w:t xml:space="preserve">  </w:t>
            </w:r>
            <w:r w:rsidRPr="00CD5521">
              <w:rPr>
                <w:bCs/>
                <w:iCs/>
                <w:sz w:val="20"/>
              </w:rPr>
              <w:t xml:space="preserve"> A</w:t>
            </w:r>
            <w:r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1E5A3C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 member, </w:t>
            </w:r>
            <w:r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F6568F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F6568F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011CD0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11CD0">
              <w:rPr>
                <w:rFonts w:cs="Arial"/>
                <w:b/>
                <w:color w:val="000080"/>
                <w:sz w:val="20"/>
              </w:rPr>
              <w:t xml:space="preserve"> Initial training for new staff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6568F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011CD0">
              <w:rPr>
                <w:rFonts w:cs="Arial"/>
                <w:bCs/>
                <w:iCs/>
                <w:sz w:val="20"/>
              </w:rPr>
              <w:t>m</w:t>
            </w:r>
            <w:r w:rsidR="00F6568F">
              <w:rPr>
                <w:rFonts w:cs="Arial"/>
                <w:bCs/>
                <w:iCs/>
                <w:sz w:val="20"/>
              </w:rPr>
              <w:t>embers</w:t>
            </w:r>
            <w:r w:rsidRPr="00CF6E0A">
              <w:rPr>
                <w:rFonts w:cs="Arial"/>
                <w:bCs/>
                <w:iCs/>
                <w:sz w:val="20"/>
              </w:rPr>
              <w:t xml:space="preserve">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</w:t>
            </w:r>
            <w:proofErr w:type="gramStart"/>
            <w:r>
              <w:rPr>
                <w:rFonts w:cs="Arial"/>
                <w:bCs/>
                <w:iCs/>
                <w:sz w:val="20"/>
              </w:rPr>
              <w:t xml:space="preserve">managed  </w:t>
            </w:r>
            <w:r w:rsidRPr="00CF6E0A">
              <w:rPr>
                <w:rFonts w:cs="Arial"/>
                <w:bCs/>
                <w:iCs/>
                <w:sz w:val="20"/>
              </w:rPr>
              <w:t>(</w:t>
            </w:r>
            <w:proofErr w:type="gramEnd"/>
            <w:r w:rsidRPr="00CF6E0A">
              <w:rPr>
                <w:rFonts w:cs="Arial"/>
                <w:bCs/>
                <w:iCs/>
                <w:sz w:val="20"/>
              </w:rPr>
              <w:t>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11CD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Safety Induction and </w:t>
            </w:r>
            <w:r w:rsidR="00011CD0">
              <w:rPr>
                <w:rFonts w:cs="Arial"/>
                <w:b/>
                <w:color w:val="000080"/>
                <w:sz w:val="20"/>
              </w:rPr>
              <w:t>under direct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F6568F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972867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F6568F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972867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F6568F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972867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972867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color w:val="000000"/>
                <w:sz w:val="20"/>
              </w:rPr>
              <w:t>A process for recording student sa</w:t>
            </w:r>
            <w:r w:rsidR="00A06B6F">
              <w:rPr>
                <w:rFonts w:cs="Arial"/>
                <w:sz w:val="20"/>
              </w:rPr>
              <w:t xml:space="preserve">fety induction e.g. </w:t>
            </w:r>
            <w:r>
              <w:rPr>
                <w:rFonts w:cs="Arial"/>
                <w:sz w:val="20"/>
              </w:rPr>
              <w:t>Member</w:t>
            </w:r>
            <w:r w:rsidR="00A06B6F">
              <w:rPr>
                <w:rFonts w:cs="Arial"/>
                <w:sz w:val="20"/>
              </w:rPr>
              <w:t xml:space="preserve">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972867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06B6F">
              <w:rPr>
                <w:rFonts w:cs="Arial"/>
                <w:sz w:val="20"/>
              </w:rPr>
              <w:t>A process for recording staff training and experience</w:t>
            </w:r>
            <w:r>
              <w:rPr>
                <w:rFonts w:cs="Arial"/>
                <w:sz w:val="20"/>
              </w:rPr>
              <w:t xml:space="preserve">. e.g.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proofErr w:type="gramStart"/>
            <w:r w:rsidR="0097286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All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 xml:space="preserve">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proofErr w:type="gramStart"/>
            <w:r w:rsidRPr="00A55D00">
              <w:rPr>
                <w:rFonts w:cs="Arial"/>
                <w:bCs/>
                <w:iCs/>
                <w:sz w:val="20"/>
              </w:rPr>
              <w:t>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>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proofErr w:type="gramStart"/>
            <w:r w:rsidR="0097286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Suitable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 xml:space="preserve">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proofErr w:type="gramStart"/>
            <w:r w:rsidR="0097286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color w:val="000000"/>
                <w:sz w:val="20"/>
              </w:rPr>
              <w:t>This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397C7A">
              <w:rPr>
                <w:rFonts w:cs="Arial"/>
                <w:b/>
                <w:color w:val="000080"/>
                <w:sz w:val="20"/>
              </w:rPr>
              <w:t xml:space="preserve">Supervisor to </w:t>
            </w:r>
            <w:r w:rsidR="00E662EA">
              <w:rPr>
                <w:rFonts w:cs="Arial"/>
                <w:b/>
                <w:color w:val="000080"/>
                <w:sz w:val="20"/>
              </w:rPr>
              <w:t>ass</w:t>
            </w:r>
            <w:r w:rsidR="00397C7A">
              <w:rPr>
                <w:rFonts w:cs="Arial"/>
                <w:b/>
                <w:color w:val="000080"/>
                <w:sz w:val="20"/>
              </w:rPr>
              <w:t xml:space="preserve">ess and create all Safe Working Zones </w:t>
            </w:r>
          </w:p>
        </w:tc>
      </w:tr>
    </w:tbl>
    <w:p w:rsidR="0041522B" w:rsidRDefault="0096069C" w:rsidP="0041522B">
      <w:pPr>
        <w:rPr>
          <w:i/>
          <w:sz w:val="20"/>
        </w:rPr>
      </w:pPr>
      <w:bookmarkStart w:id="2" w:name="_GoBack"/>
      <w:r>
        <w:rPr>
          <w:i/>
          <w:sz w:val="20"/>
        </w:rPr>
        <w:br w:type="page"/>
      </w:r>
      <w:bookmarkEnd w:id="2"/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1C518B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CD5795" w:rsidRPr="00A55D00" w:rsidTr="001C518B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CD5795" w:rsidRPr="005E17E1" w:rsidRDefault="00CD5795" w:rsidP="00CD5795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CD5795" w:rsidRPr="005E17E1" w:rsidRDefault="00CD5795" w:rsidP="00CD5795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CD5795" w:rsidRPr="00997FE4" w:rsidRDefault="00CD5795" w:rsidP="00CD5795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CD5795" w:rsidRPr="00B70012" w:rsidRDefault="00CD5795" w:rsidP="00CD5795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CD5795" w:rsidRDefault="00CD5795" w:rsidP="00CD579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CD5795" w:rsidRPr="002A6993" w:rsidRDefault="00CD5795" w:rsidP="00CD5795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:rsidR="00CD5795" w:rsidRDefault="00CD5795" w:rsidP="00CD5795">
            <w:pPr>
              <w:pStyle w:val="BodyText"/>
              <w:keepNext/>
              <w:keepLines/>
              <w:tabs>
                <w:tab w:val="num" w:pos="720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p</w:t>
            </w:r>
            <w:r w:rsidRPr="002A6993">
              <w:rPr>
                <w:sz w:val="18"/>
                <w:szCs w:val="18"/>
              </w:rPr>
              <w:t>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CD5795" w:rsidRPr="0030684D" w:rsidRDefault="00CD5795" w:rsidP="00CD5795">
            <w:pPr>
              <w:pStyle w:val="BodyText"/>
              <w:keepNext/>
              <w:keepLines/>
              <w:numPr>
                <w:ilvl w:val="0"/>
                <w:numId w:val="29"/>
              </w:numPr>
              <w:tabs>
                <w:tab w:val="left" w:pos="227"/>
              </w:tabs>
              <w:snapToGrid w:val="0"/>
              <w:spacing w:before="120" w:after="0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Cutting, Stabbing </w:t>
            </w:r>
          </w:p>
          <w:p w:rsidR="00CD5795" w:rsidRPr="0030684D" w:rsidRDefault="00CD5795" w:rsidP="00CD5795">
            <w:pPr>
              <w:pStyle w:val="BodyText"/>
              <w:keepNext/>
              <w:keepLines/>
              <w:tabs>
                <w:tab w:val="left" w:pos="227"/>
              </w:tabs>
              <w:snapToGrid w:val="0"/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>and P</w:t>
            </w:r>
            <w:r w:rsidRPr="002A6993">
              <w:rPr>
                <w:b/>
                <w:sz w:val="20"/>
              </w:rPr>
              <w:t>uncturing</w:t>
            </w:r>
          </w:p>
          <w:p w:rsidR="00CD5795" w:rsidRDefault="00CD5795" w:rsidP="00CD5795">
            <w:pPr>
              <w:spacing w:before="60"/>
              <w:rPr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Can anyone be cut, stabbed or punctured by </w:t>
            </w:r>
            <w:proofErr w:type="gramStart"/>
            <w:r w:rsidRPr="002A6993">
              <w:rPr>
                <w:rFonts w:cs="Arial"/>
                <w:sz w:val="18"/>
                <w:szCs w:val="18"/>
              </w:rPr>
              <w:t>coming into conta</w:t>
            </w:r>
            <w:r>
              <w:rPr>
                <w:rFonts w:cs="Arial"/>
                <w:sz w:val="18"/>
                <w:szCs w:val="18"/>
              </w:rPr>
              <w:t>ct with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 xml:space="preserve">work piece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  <w:p w:rsidR="00CD5795" w:rsidRDefault="00CD5795" w:rsidP="00CD5795">
            <w:pPr>
              <w:spacing w:before="60"/>
              <w:rPr>
                <w:sz w:val="18"/>
                <w:szCs w:val="18"/>
              </w:rPr>
            </w:pPr>
          </w:p>
          <w:p w:rsidR="00CD5795" w:rsidRDefault="00CD5795" w:rsidP="00CD5795">
            <w:pPr>
              <w:spacing w:before="60"/>
              <w:rPr>
                <w:sz w:val="18"/>
                <w:szCs w:val="18"/>
              </w:rPr>
            </w:pPr>
          </w:p>
          <w:p w:rsidR="00CD5795" w:rsidRDefault="00CD5795" w:rsidP="00CD5795">
            <w:pPr>
              <w:spacing w:before="60"/>
              <w:rPr>
                <w:sz w:val="18"/>
                <w:szCs w:val="18"/>
              </w:rPr>
            </w:pPr>
          </w:p>
          <w:p w:rsidR="00CD5795" w:rsidRDefault="00CD5795" w:rsidP="00CD5795">
            <w:pPr>
              <w:spacing w:before="60"/>
              <w:rPr>
                <w:sz w:val="18"/>
                <w:szCs w:val="18"/>
              </w:rPr>
            </w:pPr>
          </w:p>
          <w:p w:rsidR="00CD5795" w:rsidRPr="002A6993" w:rsidRDefault="00CD5795" w:rsidP="00CD579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CD5795" w:rsidRPr="002A6993" w:rsidRDefault="00CD5795" w:rsidP="00CD5795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tools, including all circular saws, are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CD5795" w:rsidRPr="00A55D00" w:rsidRDefault="00972867" w:rsidP="00CD5795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CD5795" w:rsidRPr="00972867" w:rsidRDefault="00972867" w:rsidP="00CD5795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</w:t>
            </w:r>
            <w:r w:rsid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and alternates </w:t>
            </w:r>
          </w:p>
        </w:tc>
      </w:tr>
      <w:tr w:rsidR="00CD5795" w:rsidRPr="00A55D00" w:rsidTr="001C518B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CD5795" w:rsidRPr="00A55D00" w:rsidRDefault="00CD5795" w:rsidP="00CD5795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CD5795" w:rsidRPr="002A6993" w:rsidRDefault="00CD5795" w:rsidP="00CD5795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necessary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all moving parts</w:t>
            </w:r>
            <w:r>
              <w:rPr>
                <w:rFonts w:cs="Arial"/>
                <w:color w:val="000000"/>
                <w:sz w:val="18"/>
                <w:szCs w:val="18"/>
              </w:rPr>
              <w:t>, particularly the rotating cutting blade.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972867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972867" w:rsidRDefault="00972867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 w:rsidR="009D5CC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per the </w:t>
            </w:r>
            <w:r w:rsid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manufacturer’s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standards </w:t>
            </w:r>
          </w:p>
        </w:tc>
      </w:tr>
      <w:tr w:rsidR="00CD5795" w:rsidRPr="00A55D00" w:rsidTr="001C518B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CD5795" w:rsidRPr="00A55D00" w:rsidRDefault="00CD5795" w:rsidP="00CD5795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CD5795" w:rsidRDefault="00CD5795" w:rsidP="00CD5795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972867">
              <w:rPr>
                <w:rFonts w:cs="Arial"/>
                <w:color w:val="000000"/>
                <w:sz w:val="18"/>
                <w:szCs w:val="18"/>
              </w:rPr>
              <w:t>members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972867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972867" w:rsidRDefault="00972867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CD5795" w:rsidRPr="00A55D00" w:rsidTr="001C518B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CD5795" w:rsidRPr="00A55D00" w:rsidRDefault="00CD5795" w:rsidP="00CD5795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CD5795" w:rsidRPr="002A6993" w:rsidRDefault="00CD5795" w:rsidP="00CD5795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972867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Located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</w:t>
            </w:r>
            <w:r w:rsidR="00A14E8A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with equipment and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in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folder</w:t>
            </w:r>
          </w:p>
        </w:tc>
      </w:tr>
      <w:tr w:rsidR="00CD5795" w:rsidRPr="00A55D00" w:rsidTr="001C518B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CD5795" w:rsidRPr="00A55D00" w:rsidRDefault="00CD5795" w:rsidP="00CD5795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CD5795" w:rsidRPr="00F361FB" w:rsidRDefault="00CD5795" w:rsidP="00CD5795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LOTO procedures</w:t>
            </w:r>
          </w:p>
        </w:tc>
      </w:tr>
      <w:tr w:rsidR="00CD5795" w:rsidRPr="00A55D00" w:rsidTr="001C518B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CD5795" w:rsidRPr="002A6993" w:rsidRDefault="00CD5795" w:rsidP="00CD5795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CD5795" w:rsidRPr="002A6993" w:rsidRDefault="00CD5795" w:rsidP="00CD5795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defined.  W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here practical, all circular saw activates are isolated </w:t>
            </w:r>
            <w:r w:rsidRPr="006D371A">
              <w:rPr>
                <w:rFonts w:cs="Arial"/>
                <w:color w:val="000000"/>
                <w:sz w:val="18"/>
                <w:szCs w:val="18"/>
              </w:rPr>
              <w:t>away from other</w:t>
            </w:r>
            <w:r>
              <w:rPr>
                <w:rFonts w:cs="Arial"/>
                <w:color w:val="000000"/>
                <w:sz w:val="18"/>
                <w:szCs w:val="18"/>
              </w:rPr>
              <w:t>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A14E8A" w:rsidP="00CD5795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Supervisor or </w:t>
            </w:r>
            <w:r w:rsidR="00176DA1"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JSA to a</w:t>
            </w:r>
            <w:r w:rsid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ddress requirements</w:t>
            </w:r>
          </w:p>
        </w:tc>
      </w:tr>
      <w:tr w:rsidR="00CD5795" w:rsidRPr="00A55D00" w:rsidTr="001C518B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CD5795" w:rsidRPr="002A6993" w:rsidRDefault="00CD5795" w:rsidP="00CD5795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CD5795" w:rsidRPr="002A6993" w:rsidRDefault="00CD5795" w:rsidP="00CD5795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SOP</w:t>
            </w:r>
            <w:r w:rsidR="00A14E8A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CD5795" w:rsidRPr="00A55D00" w:rsidTr="001C518B">
        <w:trPr>
          <w:cantSplit/>
          <w:trHeight w:val="6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CD5795" w:rsidRPr="002A6993" w:rsidRDefault="00CD5795" w:rsidP="00CD5795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CD5795" w:rsidRPr="004D22AE" w:rsidRDefault="00CD5795" w:rsidP="00CD5795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CD5795" w:rsidRPr="002A6993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</w:t>
            </w:r>
            <w:r w:rsidR="00A14E8A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in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provided</w:t>
            </w:r>
          </w:p>
          <w:p w:rsidR="00CD5795" w:rsidRPr="002568E6" w:rsidRDefault="00CD5795" w:rsidP="00CD5795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CD5795" w:rsidRPr="00A55D00" w:rsidTr="001C518B">
        <w:trPr>
          <w:cantSplit/>
          <w:trHeight w:val="691"/>
        </w:trPr>
        <w:tc>
          <w:tcPr>
            <w:tcW w:w="2661" w:type="dxa"/>
            <w:vMerge w:val="restart"/>
          </w:tcPr>
          <w:p w:rsidR="00CD5795" w:rsidRDefault="00CD5795" w:rsidP="00CD579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CD5795" w:rsidRPr="005E17E1" w:rsidRDefault="00CD5795" w:rsidP="00CD57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CD5795" w:rsidRDefault="00CD5795" w:rsidP="00CD5795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CD5795" w:rsidRDefault="00CD5795" w:rsidP="00CD5795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CD5795" w:rsidRDefault="00CD5795" w:rsidP="00CD5795">
            <w:pPr>
              <w:spacing w:before="60" w:after="120"/>
              <w:rPr>
                <w:sz w:val="18"/>
                <w:szCs w:val="18"/>
              </w:rPr>
            </w:pPr>
          </w:p>
          <w:p w:rsidR="00CD5795" w:rsidRDefault="00CD5795" w:rsidP="00CD5795">
            <w:pPr>
              <w:spacing w:before="60" w:after="120"/>
              <w:rPr>
                <w:sz w:val="18"/>
                <w:szCs w:val="18"/>
              </w:rPr>
            </w:pPr>
          </w:p>
          <w:p w:rsidR="00CD5795" w:rsidRDefault="00CD5795" w:rsidP="00CD5795">
            <w:pPr>
              <w:spacing w:before="60" w:after="120"/>
              <w:rPr>
                <w:sz w:val="18"/>
                <w:szCs w:val="18"/>
              </w:rPr>
            </w:pPr>
          </w:p>
          <w:p w:rsidR="00CD5795" w:rsidRPr="00BD6FAB" w:rsidRDefault="00CD5795" w:rsidP="00CD5795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CD5795" w:rsidRPr="002A6993" w:rsidRDefault="00CD5795" w:rsidP="00CD5795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CD5795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CD5795" w:rsidRPr="002A6993" w:rsidRDefault="00CD5795" w:rsidP="00CD5795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D5795" w:rsidRDefault="00CD5795" w:rsidP="00CD5795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</w:t>
            </w:r>
            <w:r w:rsidR="00340C46">
              <w:rPr>
                <w:rFonts w:cs="Arial"/>
                <w:color w:val="000000"/>
                <w:sz w:val="18"/>
                <w:szCs w:val="18"/>
              </w:rPr>
              <w:t>workspaces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where circular sawing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Default="00176DA1" w:rsidP="00CD5795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CD5795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CD5795" w:rsidRPr="002A6993" w:rsidRDefault="00CD5795" w:rsidP="00CD5795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CD5795" w:rsidRDefault="00CD5795" w:rsidP="00CD5795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5795" w:rsidRPr="00A55D00" w:rsidRDefault="00176DA1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5795" w:rsidRPr="00176DA1" w:rsidRDefault="00176DA1" w:rsidP="00CD5795">
            <w:pPr>
              <w:spacing w:before="12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CD5795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CD5795" w:rsidRPr="002A503A" w:rsidRDefault="00CD5795" w:rsidP="00CD5795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CD5795" w:rsidRPr="002A6993" w:rsidRDefault="00CD5795" w:rsidP="00CD5795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Noise</w:t>
            </w:r>
          </w:p>
          <w:p w:rsidR="00CD5795" w:rsidRPr="002A6993" w:rsidRDefault="00CD5795" w:rsidP="00CD579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CD5795" w:rsidRDefault="00CD5795" w:rsidP="00CD5795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CD5795" w:rsidRPr="00870CEC" w:rsidRDefault="00CD5795" w:rsidP="00CD5795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CD5795" w:rsidRPr="002A6993" w:rsidRDefault="00CD5795" w:rsidP="00CD5795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CD5795" w:rsidRPr="002A6993" w:rsidRDefault="00CD5795" w:rsidP="00CD5795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Vibration</w:t>
            </w:r>
          </w:p>
          <w:p w:rsidR="00CD5795" w:rsidRDefault="00CD5795" w:rsidP="00CD5795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the normal </w:t>
            </w:r>
            <w:r>
              <w:rPr>
                <w:sz w:val="18"/>
                <w:szCs w:val="18"/>
              </w:rPr>
              <w:t>operation of this</w:t>
            </w:r>
            <w:r w:rsidRPr="002A6993">
              <w:rPr>
                <w:sz w:val="18"/>
                <w:szCs w:val="18"/>
              </w:rPr>
              <w:t xml:space="preserve"> plant likely to create severe or excess vibration that could be transferable to the operator?</w:t>
            </w:r>
          </w:p>
          <w:p w:rsidR="00CD5795" w:rsidRPr="002A6993" w:rsidRDefault="00CD5795" w:rsidP="00CD5795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CD5795" w:rsidRDefault="00CD5795" w:rsidP="00CD579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CD5795" w:rsidRDefault="00CD5795" w:rsidP="00CD5795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CD5795" w:rsidRDefault="00CD5795" w:rsidP="00CD5795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CD5795" w:rsidRDefault="00CD5795" w:rsidP="00CD5795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CD5795" w:rsidRDefault="00CD5795" w:rsidP="00CD5795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CD5795" w:rsidRDefault="00CD5795" w:rsidP="00CD5795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CD5795" w:rsidRPr="006A148F" w:rsidRDefault="00CD5795" w:rsidP="00CD5795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CD5795" w:rsidRPr="002A6993" w:rsidRDefault="00CD5795" w:rsidP="00CD579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power tools, including all circular saws,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CD5795" w:rsidRPr="00A55D00" w:rsidTr="001C518B">
        <w:trPr>
          <w:cantSplit/>
          <w:trHeight w:val="545"/>
        </w:trPr>
        <w:tc>
          <w:tcPr>
            <w:tcW w:w="2661" w:type="dxa"/>
            <w:vMerge/>
          </w:tcPr>
          <w:p w:rsidR="00CD5795" w:rsidRPr="005E17E1" w:rsidRDefault="00CD5795" w:rsidP="00CD579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D5795" w:rsidRPr="006D497C" w:rsidRDefault="00CD5795" w:rsidP="00CD5795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340C46" w:rsidRDefault="00176DA1" w:rsidP="00CD5795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CD5795" w:rsidRPr="00A55D00" w:rsidTr="001C518B">
        <w:trPr>
          <w:cantSplit/>
          <w:trHeight w:val="767"/>
        </w:trPr>
        <w:tc>
          <w:tcPr>
            <w:tcW w:w="2661" w:type="dxa"/>
            <w:vMerge/>
          </w:tcPr>
          <w:p w:rsidR="00CD5795" w:rsidRPr="005E17E1" w:rsidRDefault="00CD5795" w:rsidP="00CD579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D5795" w:rsidRPr="002A6993" w:rsidRDefault="00CD5795" w:rsidP="00CD5795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noisy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CD5795" w:rsidRPr="00A55D00" w:rsidTr="001C518B">
        <w:trPr>
          <w:cantSplit/>
          <w:trHeight w:val="493"/>
        </w:trPr>
        <w:tc>
          <w:tcPr>
            <w:tcW w:w="2661" w:type="dxa"/>
            <w:vMerge/>
          </w:tcPr>
          <w:p w:rsidR="00CD5795" w:rsidRPr="005E17E1" w:rsidRDefault="00CD5795" w:rsidP="00CD579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D5795" w:rsidRDefault="00CD5795" w:rsidP="00CD5795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Engineering controls (or physical changes) such as mandatory machinery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guarding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or any protective safety screens and enclosures are in place in all workspaces and all in good working condition.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7773DF">
              <w:rPr>
                <w:rFonts w:cs="Arial"/>
                <w:b/>
                <w:color w:val="000080"/>
                <w:sz w:val="16"/>
                <w:szCs w:val="16"/>
              </w:rPr>
              <w:t xml:space="preserve">As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per manufacturers standards</w:t>
            </w:r>
          </w:p>
        </w:tc>
      </w:tr>
      <w:tr w:rsidR="00CD5795" w:rsidRPr="00A55D00" w:rsidTr="00CD5795">
        <w:trPr>
          <w:cantSplit/>
          <w:trHeight w:val="527"/>
        </w:trPr>
        <w:tc>
          <w:tcPr>
            <w:tcW w:w="2661" w:type="dxa"/>
            <w:vMerge/>
          </w:tcPr>
          <w:p w:rsidR="00CD5795" w:rsidRPr="005E17E1" w:rsidRDefault="00CD5795" w:rsidP="00CD579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D5795" w:rsidRPr="004A7F5A" w:rsidRDefault="00CD5795" w:rsidP="00CD5795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176DA1">
              <w:rPr>
                <w:rFonts w:cs="Arial"/>
                <w:color w:val="000000"/>
                <w:sz w:val="18"/>
                <w:szCs w:val="18"/>
              </w:rPr>
              <w:t>members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176DA1" w:rsidP="00CD5795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CD5795" w:rsidRPr="00A55D00" w:rsidTr="00CD5795">
        <w:trPr>
          <w:cantSplit/>
          <w:trHeight w:val="506"/>
        </w:trPr>
        <w:tc>
          <w:tcPr>
            <w:tcW w:w="2661" w:type="dxa"/>
            <w:vMerge/>
          </w:tcPr>
          <w:p w:rsidR="00CD5795" w:rsidRPr="005E17E1" w:rsidRDefault="00CD5795" w:rsidP="00CD579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D5795" w:rsidRPr="00E80C0E" w:rsidRDefault="00CD5795" w:rsidP="00CD5795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ll ducted dust extraction systems are 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 operational, fully maintained and cleaned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176DA1" w:rsidRDefault="00CD5795" w:rsidP="00CD5795">
            <w:pPr>
              <w:snapToGrid w:val="0"/>
              <w:spacing w:before="120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 w:rsidR="00176DA1"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Use a portable dust extraction</w:t>
            </w:r>
          </w:p>
        </w:tc>
      </w:tr>
      <w:tr w:rsidR="00CD5795" w:rsidRPr="00A55D00" w:rsidTr="00CD5795">
        <w:trPr>
          <w:cantSplit/>
          <w:trHeight w:val="929"/>
        </w:trPr>
        <w:tc>
          <w:tcPr>
            <w:tcW w:w="2661" w:type="dxa"/>
            <w:vMerge/>
          </w:tcPr>
          <w:p w:rsidR="00CD5795" w:rsidRPr="005E17E1" w:rsidRDefault="00CD5795" w:rsidP="00CD579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D5795" w:rsidRPr="004A7F5A" w:rsidRDefault="00CD5795" w:rsidP="00CD5795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176DA1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D5795" w:rsidRPr="00A55D00" w:rsidRDefault="00CD5795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D5795" w:rsidRPr="002568E6" w:rsidRDefault="00176DA1" w:rsidP="00176DA1">
            <w:pPr>
              <w:snapToGrid w:val="0"/>
              <w:spacing w:before="120"/>
              <w:rPr>
                <w:b/>
                <w:color w:val="000080"/>
                <w:sz w:val="6"/>
                <w:szCs w:val="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25480F" w:rsidRPr="00A55D00" w:rsidTr="00CD5795">
        <w:trPr>
          <w:cantSplit/>
          <w:trHeight w:val="1372"/>
        </w:trPr>
        <w:tc>
          <w:tcPr>
            <w:tcW w:w="2661" w:type="dxa"/>
            <w:vMerge/>
          </w:tcPr>
          <w:p w:rsidR="0025480F" w:rsidRPr="005E17E1" w:rsidRDefault="0025480F" w:rsidP="0025480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80F" w:rsidRDefault="0025480F" w:rsidP="0025480F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25480F" w:rsidRPr="002A6993" w:rsidRDefault="0025480F" w:rsidP="0025480F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80F" w:rsidRPr="00A55D00" w:rsidRDefault="00176DA1" w:rsidP="0025480F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80F" w:rsidRPr="00A55D00" w:rsidRDefault="0025480F" w:rsidP="0025480F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80F" w:rsidRPr="00176DA1" w:rsidRDefault="00176DA1" w:rsidP="0025480F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 w:rsidR="00011CD0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  <w:p w:rsidR="0025480F" w:rsidRPr="002568E6" w:rsidRDefault="0025480F" w:rsidP="0025480F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340C46" w:rsidRPr="00A55D00" w:rsidTr="00CD5795">
        <w:trPr>
          <w:cantSplit/>
          <w:trHeight w:val="639"/>
        </w:trPr>
        <w:tc>
          <w:tcPr>
            <w:tcW w:w="2661" w:type="dxa"/>
            <w:vMerge w:val="restart"/>
          </w:tcPr>
          <w:p w:rsidR="00340C46" w:rsidRPr="002A6993" w:rsidRDefault="00340C46" w:rsidP="00340C46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340C46" w:rsidRDefault="00340C46" w:rsidP="00340C46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340C46" w:rsidRDefault="00340C46" w:rsidP="00340C46">
            <w:pPr>
              <w:spacing w:before="240"/>
              <w:rPr>
                <w:b/>
                <w:sz w:val="22"/>
                <w:szCs w:val="22"/>
              </w:rPr>
            </w:pPr>
          </w:p>
          <w:p w:rsidR="00340C46" w:rsidRDefault="00340C46" w:rsidP="00340C46">
            <w:pPr>
              <w:spacing w:before="240"/>
              <w:rPr>
                <w:b/>
                <w:sz w:val="22"/>
                <w:szCs w:val="22"/>
              </w:rPr>
            </w:pPr>
          </w:p>
          <w:p w:rsidR="00340C46" w:rsidRDefault="00340C46" w:rsidP="00340C46">
            <w:pPr>
              <w:spacing w:before="240"/>
              <w:rPr>
                <w:b/>
                <w:sz w:val="22"/>
                <w:szCs w:val="22"/>
              </w:rPr>
            </w:pPr>
          </w:p>
          <w:p w:rsidR="00340C46" w:rsidRDefault="00340C46" w:rsidP="00340C46">
            <w:pPr>
              <w:spacing w:before="240"/>
              <w:rPr>
                <w:b/>
                <w:sz w:val="22"/>
                <w:szCs w:val="22"/>
              </w:rPr>
            </w:pPr>
          </w:p>
          <w:p w:rsidR="00340C46" w:rsidRPr="005E17E1" w:rsidRDefault="00340C46" w:rsidP="00340C4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340C46" w:rsidRDefault="00340C46" w:rsidP="00340C46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Visually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cordless power tools, their electrical switches, plugs,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leads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battery charges.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0C46" w:rsidRPr="00CB4036" w:rsidRDefault="00340C46" w:rsidP="00340C46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340C46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40C46" w:rsidRDefault="00340C46" w:rsidP="00340C46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 etc. are completed regularly as per guidelines for all cordless portable power tool battery chargers.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40C46" w:rsidRDefault="00340C46" w:rsidP="00340C46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340C46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40C46" w:rsidRPr="00F40031" w:rsidRDefault="00340C46" w:rsidP="00340C46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cordless power tools or their battery chargers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40C46" w:rsidRDefault="00340C46" w:rsidP="00340C46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LOTO procedures </w:t>
            </w:r>
            <w:r w:rsidRPr="00CB4036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340C46" w:rsidRPr="00A55D00" w:rsidTr="001C518B">
        <w:trPr>
          <w:cantSplit/>
          <w:trHeight w:val="878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40C46" w:rsidRPr="00F361FB" w:rsidRDefault="00340C46" w:rsidP="00340C46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cordless power tools and chargers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40C46" w:rsidRPr="00CB4036" w:rsidRDefault="00340C46" w:rsidP="00340C46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Electrical register </w:t>
            </w:r>
          </w:p>
          <w:p w:rsidR="00340C46" w:rsidRPr="00BD537E" w:rsidRDefault="00340C46" w:rsidP="00340C46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340C46" w:rsidRPr="00A55D00" w:rsidTr="001C518B">
        <w:trPr>
          <w:cantSplit/>
          <w:trHeight w:val="1455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340C46" w:rsidRPr="00340C46" w:rsidRDefault="00340C46" w:rsidP="00340C46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A55D00" w:rsidRDefault="00340C46" w:rsidP="00340C46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A55D00" w:rsidRDefault="00340C46" w:rsidP="00340C46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2568E6" w:rsidRDefault="00340C46" w:rsidP="00340C46">
            <w:pPr>
              <w:snapToGrid w:val="0"/>
              <w:spacing w:before="120" w:after="6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25480F" w:rsidRPr="00A55D00" w:rsidTr="001C518B">
        <w:trPr>
          <w:cantSplit/>
          <w:trHeight w:val="189"/>
        </w:trPr>
        <w:tc>
          <w:tcPr>
            <w:tcW w:w="2661" w:type="dxa"/>
            <w:vMerge w:val="restart"/>
          </w:tcPr>
          <w:p w:rsidR="0025480F" w:rsidRPr="005E17E1" w:rsidRDefault="0025480F" w:rsidP="0025480F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25480F" w:rsidRDefault="0025480F" w:rsidP="0025480F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Friction</w:t>
            </w:r>
          </w:p>
          <w:p w:rsidR="0025480F" w:rsidRPr="00CE1C9E" w:rsidRDefault="0025480F" w:rsidP="0025480F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proofErr w:type="gramStart"/>
            <w:r w:rsidRPr="00CE1C9E">
              <w:rPr>
                <w:sz w:val="18"/>
                <w:szCs w:val="18"/>
              </w:rPr>
              <w:t>come into contact with</w:t>
            </w:r>
            <w:proofErr w:type="gramEnd"/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25480F" w:rsidRDefault="0025480F" w:rsidP="0025480F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25480F" w:rsidRDefault="0025480F" w:rsidP="0025480F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25480F" w:rsidRDefault="0025480F" w:rsidP="0025480F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>hazar</w:t>
            </w:r>
            <w:r>
              <w:rPr>
                <w:sz w:val="18"/>
                <w:szCs w:val="18"/>
              </w:rPr>
              <w:t>dous or toxic chemicals such as volatile vapours, fumes or airborne toxic wood dust particulates?</w:t>
            </w:r>
          </w:p>
          <w:p w:rsidR="0025480F" w:rsidRDefault="0025480F" w:rsidP="0025480F">
            <w:pPr>
              <w:spacing w:before="60"/>
              <w:ind w:right="-57"/>
              <w:rPr>
                <w:sz w:val="18"/>
                <w:szCs w:val="18"/>
              </w:rPr>
            </w:pPr>
          </w:p>
          <w:p w:rsidR="0025480F" w:rsidRPr="002568E6" w:rsidRDefault="0025480F" w:rsidP="0025480F">
            <w:pPr>
              <w:spacing w:before="6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25480F" w:rsidRPr="002A6993" w:rsidRDefault="0025480F" w:rsidP="0025480F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power tools, including all circular saws,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80F" w:rsidRPr="00A55D00" w:rsidRDefault="00BD537E" w:rsidP="0025480F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80F" w:rsidRPr="00A55D00" w:rsidRDefault="0025480F" w:rsidP="0025480F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80F" w:rsidRPr="00BD537E" w:rsidRDefault="00BD537E" w:rsidP="0025480F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25480F" w:rsidRPr="00A55D00" w:rsidTr="001C518B">
        <w:trPr>
          <w:cantSplit/>
          <w:trHeight w:val="446"/>
        </w:trPr>
        <w:tc>
          <w:tcPr>
            <w:tcW w:w="2661" w:type="dxa"/>
            <w:vMerge/>
          </w:tcPr>
          <w:p w:rsidR="0025480F" w:rsidRPr="005E17E1" w:rsidRDefault="0025480F" w:rsidP="0025480F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80F" w:rsidRPr="006D497C" w:rsidRDefault="0025480F" w:rsidP="0025480F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tools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80F" w:rsidRPr="00A55D00" w:rsidRDefault="00BD537E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80F" w:rsidRPr="00A55D00" w:rsidRDefault="0025480F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80F" w:rsidRPr="00BD537E" w:rsidRDefault="00BD537E" w:rsidP="0025480F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25480F" w:rsidRPr="00A55D00" w:rsidTr="001C518B">
        <w:trPr>
          <w:cantSplit/>
          <w:trHeight w:val="186"/>
        </w:trPr>
        <w:tc>
          <w:tcPr>
            <w:tcW w:w="2661" w:type="dxa"/>
            <w:vMerge/>
          </w:tcPr>
          <w:p w:rsidR="0025480F" w:rsidRPr="005E17E1" w:rsidRDefault="0025480F" w:rsidP="0025480F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80F" w:rsidRPr="002A6993" w:rsidRDefault="0025480F" w:rsidP="0025480F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potentially hazardous waste material or toxic wood dusts resulting from this wood cutting process are monitored and managed.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80F" w:rsidRPr="00A55D00" w:rsidRDefault="00BD537E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80F" w:rsidRPr="00A55D00" w:rsidRDefault="0025480F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80F" w:rsidRPr="00BD537E" w:rsidRDefault="00BD537E" w:rsidP="0025480F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Dust extraction and air filter monitoring by Supervisor</w:t>
            </w:r>
            <w:r w:rsidR="0025480F" w:rsidRPr="00BD537E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25480F" w:rsidRPr="00A55D00" w:rsidTr="001C518B">
        <w:trPr>
          <w:cantSplit/>
          <w:trHeight w:val="399"/>
        </w:trPr>
        <w:tc>
          <w:tcPr>
            <w:tcW w:w="2661" w:type="dxa"/>
            <w:vMerge/>
          </w:tcPr>
          <w:p w:rsidR="0025480F" w:rsidRPr="005E17E1" w:rsidRDefault="0025480F" w:rsidP="0025480F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80F" w:rsidRDefault="0025480F" w:rsidP="0025480F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BD537E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80F" w:rsidRPr="00A55D00" w:rsidRDefault="00BD537E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80F" w:rsidRPr="00A55D00" w:rsidRDefault="0025480F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80F" w:rsidRPr="00BD537E" w:rsidRDefault="00BD537E" w:rsidP="0025480F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25480F" w:rsidRPr="00A55D00" w:rsidTr="001C518B">
        <w:trPr>
          <w:cantSplit/>
          <w:trHeight w:val="699"/>
        </w:trPr>
        <w:tc>
          <w:tcPr>
            <w:tcW w:w="2661" w:type="dxa"/>
            <w:vMerge/>
          </w:tcPr>
          <w:p w:rsidR="0025480F" w:rsidRPr="005E17E1" w:rsidRDefault="0025480F" w:rsidP="0025480F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80F" w:rsidRDefault="0025480F" w:rsidP="0025480F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defined.  W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here practical, all circular saw activates are isolated </w:t>
            </w:r>
            <w:r w:rsidRPr="006D371A">
              <w:rPr>
                <w:rFonts w:cs="Arial"/>
                <w:color w:val="000000"/>
                <w:sz w:val="18"/>
                <w:szCs w:val="18"/>
              </w:rPr>
              <w:t>away from other</w:t>
            </w:r>
            <w:r>
              <w:rPr>
                <w:rFonts w:cs="Arial"/>
                <w:color w:val="000000"/>
                <w:sz w:val="18"/>
                <w:szCs w:val="18"/>
              </w:rPr>
              <w:t>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80F" w:rsidRPr="00A55D00" w:rsidRDefault="00BD537E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80F" w:rsidRPr="00A55D00" w:rsidRDefault="0025480F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80F" w:rsidRPr="00BD537E" w:rsidRDefault="00A14E8A" w:rsidP="0025480F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Supervisor </w:t>
            </w:r>
            <w:r w:rsid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to</w:t>
            </w:r>
            <w:proofErr w:type="gramEnd"/>
            <w:r w:rsid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address the </w:t>
            </w:r>
            <w:r w:rsidR="00011CD0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work zone </w:t>
            </w:r>
            <w:r w:rsid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requirements </w:t>
            </w:r>
          </w:p>
        </w:tc>
      </w:tr>
      <w:tr w:rsidR="0025480F" w:rsidRPr="00A55D00" w:rsidTr="001C518B">
        <w:trPr>
          <w:cantSplit/>
          <w:trHeight w:val="1307"/>
        </w:trPr>
        <w:tc>
          <w:tcPr>
            <w:tcW w:w="2661" w:type="dxa"/>
            <w:vMerge/>
          </w:tcPr>
          <w:p w:rsidR="0025480F" w:rsidRPr="005E17E1" w:rsidRDefault="0025480F" w:rsidP="0025480F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80F" w:rsidRPr="00166AC3" w:rsidRDefault="0025480F" w:rsidP="0025480F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provided and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25480F" w:rsidRPr="002A6993" w:rsidRDefault="0025480F" w:rsidP="0025480F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80F" w:rsidRPr="00A55D00" w:rsidRDefault="00BD537E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80F" w:rsidRPr="00A55D00" w:rsidRDefault="0025480F" w:rsidP="0025480F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80F" w:rsidRPr="00BD537E" w:rsidRDefault="00BD537E" w:rsidP="0025480F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 w:rsidR="00011CD0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</w:tc>
      </w:tr>
      <w:tr w:rsidR="0025480F" w:rsidRPr="00A55D00" w:rsidTr="001C518B">
        <w:trPr>
          <w:cantSplit/>
          <w:trHeight w:val="824"/>
        </w:trPr>
        <w:tc>
          <w:tcPr>
            <w:tcW w:w="2661" w:type="dxa"/>
            <w:vMerge w:val="restart"/>
          </w:tcPr>
          <w:p w:rsidR="0025480F" w:rsidRPr="005E17E1" w:rsidRDefault="0025480F" w:rsidP="0025480F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25480F" w:rsidRPr="005E17E1" w:rsidRDefault="0025480F" w:rsidP="0025480F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25480F" w:rsidRDefault="0025480F" w:rsidP="0025480F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25480F" w:rsidRPr="0025480F" w:rsidRDefault="0025480F" w:rsidP="00254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25480F" w:rsidRPr="002A6993" w:rsidRDefault="0025480F" w:rsidP="0025480F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80F" w:rsidRPr="00A55D00" w:rsidRDefault="00BD537E" w:rsidP="0025480F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80F" w:rsidRPr="00A55D00" w:rsidRDefault="0025480F" w:rsidP="0025480F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80F" w:rsidRPr="00BD537E" w:rsidRDefault="00340C46" w:rsidP="0025480F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Work horses and material holds are set up to create a safe cutting environment. </w:t>
            </w:r>
          </w:p>
        </w:tc>
      </w:tr>
      <w:tr w:rsidR="00340C46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40C46" w:rsidRPr="002A6993" w:rsidRDefault="00340C46" w:rsidP="00340C4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40C46" w:rsidRPr="00CB4036" w:rsidRDefault="00340C46" w:rsidP="00340C4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340C46" w:rsidRPr="00A55D00" w:rsidTr="001C518B">
        <w:trPr>
          <w:cantSplit/>
          <w:trHeight w:val="728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40C46" w:rsidRPr="002A6993" w:rsidRDefault="00340C46" w:rsidP="00340C4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40C46" w:rsidRPr="00CB4036" w:rsidRDefault="00340C46" w:rsidP="00340C4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340C46" w:rsidRPr="00A55D00" w:rsidTr="00B92B6E">
        <w:trPr>
          <w:cantSplit/>
          <w:trHeight w:val="1523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340C46" w:rsidRDefault="00340C46" w:rsidP="00340C4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training is provided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with regard to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A55D00" w:rsidRDefault="00340C46" w:rsidP="00340C4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CB4036" w:rsidRDefault="00340C46" w:rsidP="00340C4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inductions.</w:t>
            </w:r>
          </w:p>
        </w:tc>
      </w:tr>
      <w:tr w:rsidR="00340C46" w:rsidRPr="00A55D00" w:rsidTr="001C518B">
        <w:trPr>
          <w:cantSplit/>
          <w:trHeight w:val="180"/>
        </w:trPr>
        <w:tc>
          <w:tcPr>
            <w:tcW w:w="2661" w:type="dxa"/>
            <w:vMerge w:val="restart"/>
          </w:tcPr>
          <w:p w:rsidR="00340C46" w:rsidRPr="002A6993" w:rsidRDefault="00340C46" w:rsidP="00340C46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340C46" w:rsidRDefault="00340C46" w:rsidP="00340C46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340C46" w:rsidRPr="00033942" w:rsidRDefault="00340C46" w:rsidP="00340C46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340C46" w:rsidRPr="002A6993" w:rsidRDefault="00340C46" w:rsidP="00340C4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0C46" w:rsidRPr="00BD537E" w:rsidRDefault="00340C46" w:rsidP="00340C46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340C46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40C46" w:rsidRDefault="00340C46" w:rsidP="00340C4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40C46" w:rsidRPr="00BD537E" w:rsidRDefault="00340C46" w:rsidP="00340C46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Annual safety training</w:t>
            </w:r>
          </w:p>
        </w:tc>
      </w:tr>
      <w:tr w:rsidR="00340C46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40C46" w:rsidRDefault="00340C46" w:rsidP="00340C4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40C46" w:rsidRPr="00A55D00" w:rsidRDefault="00340C46" w:rsidP="00340C4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40C46" w:rsidRPr="00BD537E" w:rsidRDefault="00340C46" w:rsidP="00340C46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bookmarkStart w:id="3" w:name="_Hlk31371270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Australian building code </w:t>
            </w:r>
            <w:bookmarkEnd w:id="3"/>
          </w:p>
        </w:tc>
      </w:tr>
      <w:tr w:rsidR="00340C46" w:rsidRPr="00A55D00" w:rsidTr="00B92B6E">
        <w:trPr>
          <w:cantSplit/>
          <w:trHeight w:val="1179"/>
        </w:trPr>
        <w:tc>
          <w:tcPr>
            <w:tcW w:w="2661" w:type="dxa"/>
            <w:vMerge/>
          </w:tcPr>
          <w:p w:rsidR="00340C46" w:rsidRDefault="00340C46" w:rsidP="00340C4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340C46" w:rsidRPr="0025480F" w:rsidRDefault="00340C46" w:rsidP="00340C4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A55D00" w:rsidRDefault="00340C46" w:rsidP="00340C4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A55D00" w:rsidRDefault="00340C46" w:rsidP="00340C4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0C46" w:rsidRPr="00BD537E" w:rsidRDefault="00340C46" w:rsidP="00340C46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F6568F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F6568F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F6568F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F6568F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F6568F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F6568F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F6568F"/>
          <w:p w:rsidR="00B92B6E" w:rsidRDefault="00B92B6E" w:rsidP="00F6568F"/>
          <w:p w:rsidR="00B92B6E" w:rsidRDefault="00B92B6E" w:rsidP="00F6568F"/>
          <w:p w:rsidR="00B92B6E" w:rsidRDefault="00B92B6E" w:rsidP="00F6568F"/>
          <w:p w:rsidR="00B92B6E" w:rsidRDefault="00B92B6E" w:rsidP="00F6568F"/>
          <w:p w:rsidR="00B92B6E" w:rsidRDefault="00B92B6E" w:rsidP="00F6568F"/>
          <w:p w:rsidR="00B92B6E" w:rsidRDefault="00B92B6E" w:rsidP="00F6568F"/>
          <w:p w:rsidR="00B92B6E" w:rsidRDefault="00B92B6E" w:rsidP="00F6568F"/>
          <w:p w:rsidR="00B92B6E" w:rsidRPr="00D30FA1" w:rsidRDefault="00B92B6E" w:rsidP="00F6568F"/>
        </w:tc>
        <w:tc>
          <w:tcPr>
            <w:tcW w:w="7505" w:type="dxa"/>
            <w:shd w:val="clear" w:color="auto" w:fill="auto"/>
          </w:tcPr>
          <w:p w:rsidR="00B92B6E" w:rsidRPr="00A55D00" w:rsidRDefault="00B92B6E" w:rsidP="00F6568F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B92B6E" w:rsidRPr="00047F53" w:rsidRDefault="00B92B6E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BD537E" w:rsidRDefault="008F3013" w:rsidP="007034DD">
            <w:pPr>
              <w:pStyle w:val="Heading2"/>
              <w:spacing w:before="180" w:after="120" w:line="240" w:lineRule="auto"/>
              <w:rPr>
                <w:sz w:val="16"/>
                <w:szCs w:val="16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BD537E" w:rsidRPr="003D4571">
              <w:rPr>
                <w:rFonts w:cs="Arial"/>
                <w:b/>
                <w:bCs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BD537E" w:rsidRPr="003D4571">
              <w:rPr>
                <w:rFonts w:cs="Arial"/>
                <w:b/>
                <w:bCs/>
                <w:color w:val="000080"/>
                <w:sz w:val="20"/>
              </w:rPr>
              <w:t>0</w:t>
            </w:r>
            <w:r w:rsidR="00340C46">
              <w:rPr>
                <w:rFonts w:cs="Arial"/>
                <w:b/>
                <w:bCs/>
                <w:color w:val="000080"/>
                <w:sz w:val="20"/>
              </w:rPr>
              <w:t>2</w:t>
            </w:r>
            <w:r w:rsidR="00BD537E" w:rsidRPr="003D4571">
              <w:rPr>
                <w:rFonts w:cs="Arial"/>
                <w:b/>
                <w:bCs/>
                <w:color w:val="000080"/>
                <w:sz w:val="20"/>
              </w:rPr>
              <w:t>/0</w:t>
            </w:r>
            <w:r w:rsidR="00340C46">
              <w:rPr>
                <w:rFonts w:cs="Arial"/>
                <w:b/>
                <w:bCs/>
                <w:color w:val="000080"/>
                <w:sz w:val="20"/>
              </w:rPr>
              <w:t>3</w:t>
            </w:r>
            <w:r w:rsidR="00BD537E" w:rsidRPr="003D4571">
              <w:rPr>
                <w:rFonts w:cs="Arial"/>
                <w:b/>
                <w:bCs/>
                <w:color w:val="000080"/>
                <w:sz w:val="20"/>
              </w:rPr>
              <w:t>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E5A3C">
              <w:rPr>
                <w:rFonts w:cs="Arial"/>
                <w:b/>
                <w:color w:val="000080"/>
                <w:sz w:val="22"/>
              </w:rPr>
            </w:r>
            <w:r w:rsidR="001E5A3C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E5A3C">
              <w:rPr>
                <w:rFonts w:cs="Arial"/>
                <w:b/>
                <w:color w:val="000080"/>
                <w:sz w:val="22"/>
              </w:rPr>
            </w:r>
            <w:r w:rsidR="001E5A3C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E5A3C">
              <w:rPr>
                <w:rFonts w:cs="Arial"/>
                <w:b/>
                <w:color w:val="000080"/>
                <w:sz w:val="22"/>
              </w:rPr>
            </w:r>
            <w:r w:rsidR="001E5A3C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340C46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B92B6E" w:rsidRDefault="00B92B6E">
      <w: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340C4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340C4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340C4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ITD staffing details at this school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</w:r>
            <w:r w:rsidR="001E5A3C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5C6" w:rsidRDefault="009675C6" w:rsidP="00083934">
      <w:pPr>
        <w:jc w:val="right"/>
        <w:rPr>
          <w:rFonts w:cs="Arial"/>
          <w:sz w:val="20"/>
          <w:lang w:val="en-US"/>
        </w:rPr>
      </w:pPr>
    </w:p>
    <w:p w:rsidR="00083934" w:rsidRPr="003539F4" w:rsidRDefault="00083934" w:rsidP="00083934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sz w:val="20"/>
          <w:lang w:val="en-US"/>
        </w:rPr>
        <w:lastRenderedPageBreak/>
        <w:t>© State of Queensland (State Library of Queensland) 2020</w:t>
      </w:r>
    </w:p>
    <w:p w:rsidR="00083934" w:rsidRPr="003539F4" w:rsidRDefault="00083934" w:rsidP="00083934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sz w:val="20"/>
          <w:lang w:val="en-US"/>
        </w:rPr>
        <w:t xml:space="preserve">This policy is licensed under a Creative Commons Attribution 3.0 Australia </w:t>
      </w:r>
      <w:proofErr w:type="spellStart"/>
      <w:r w:rsidRPr="003539F4">
        <w:rPr>
          <w:rFonts w:cs="Arial"/>
          <w:sz w:val="20"/>
          <w:lang w:val="en-US"/>
        </w:rPr>
        <w:t>licence</w:t>
      </w:r>
      <w:proofErr w:type="spellEnd"/>
      <w:r w:rsidRPr="003539F4">
        <w:rPr>
          <w:rFonts w:cs="Arial"/>
          <w:sz w:val="20"/>
          <w:lang w:val="en-US"/>
        </w:rPr>
        <w:t>. You are free to copy, communicate and adapt this work, so long as you attribute the State Library of Queensland.</w:t>
      </w:r>
    </w:p>
    <w:p w:rsidR="00083934" w:rsidRPr="003539F4" w:rsidRDefault="00083934" w:rsidP="00083934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noProof/>
          <w:sz w:val="20"/>
        </w:rPr>
        <w:drawing>
          <wp:inline distT="0" distB="0" distL="0" distR="0" wp14:anchorId="487B866E" wp14:editId="45E10D04">
            <wp:extent cx="361950" cy="361950"/>
            <wp:effectExtent l="0" t="0" r="0" b="0"/>
            <wp:docPr id="6" name="Picture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9F4">
        <w:rPr>
          <w:rFonts w:cs="Arial"/>
          <w:sz w:val="20"/>
          <w:lang w:val="en-US"/>
        </w:rPr>
        <w:t xml:space="preserve">  </w:t>
      </w:r>
      <w:r w:rsidRPr="003539F4">
        <w:rPr>
          <w:rFonts w:cs="Arial"/>
          <w:noProof/>
          <w:sz w:val="20"/>
        </w:rPr>
        <w:drawing>
          <wp:inline distT="0" distB="0" distL="0" distR="0" wp14:anchorId="65BD313C" wp14:editId="2616C262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C17" w:rsidRDefault="00083934" w:rsidP="00083934">
      <w:pPr>
        <w:jc w:val="right"/>
        <w:rPr>
          <w:noProof/>
        </w:rPr>
      </w:pPr>
      <w:r w:rsidRPr="003539F4">
        <w:rPr>
          <w:rFonts w:cs="Arial"/>
          <w:sz w:val="20"/>
          <w:lang w:val="en-US"/>
        </w:rPr>
        <w:t xml:space="preserve">For more information see </w:t>
      </w:r>
      <w:hyperlink r:id="rId15" w:history="1">
        <w:r w:rsidRPr="003539F4">
          <w:rPr>
            <w:rStyle w:val="Hyperlink"/>
            <w:rFonts w:cs="Arial"/>
            <w:sz w:val="20"/>
            <w:lang w:val="en-US"/>
          </w:rPr>
          <w:t>http://creativecommons.org/licenses/by/3.0/au</w:t>
        </w:r>
      </w:hyperlink>
    </w:p>
    <w:sectPr w:rsidR="00967C17" w:rsidSect="00F41914">
      <w:footerReference w:type="default" r:id="rId16"/>
      <w:type w:val="continuous"/>
      <w:pgSz w:w="11906" w:h="16838" w:code="9"/>
      <w:pgMar w:top="568" w:right="851" w:bottom="102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E8A" w:rsidRDefault="00A14E8A">
      <w:r>
        <w:separator/>
      </w:r>
    </w:p>
  </w:endnote>
  <w:endnote w:type="continuationSeparator" w:id="0">
    <w:p w:rsidR="00A14E8A" w:rsidRDefault="00A1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083934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083934" w:rsidRPr="00FF7507" w:rsidRDefault="00083934" w:rsidP="0008393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>The Edge Fabrication Lab Risk Assessment</w:t>
          </w:r>
          <w:r w:rsidR="006F05B1">
            <w:rPr>
              <w:rFonts w:eastAsia="MS Gothic" w:cs="Arial"/>
              <w:bCs/>
              <w:sz w:val="16"/>
              <w:szCs w:val="16"/>
            </w:rPr>
            <w:t xml:space="preserve">             </w:t>
          </w:r>
          <w:r>
            <w:rPr>
              <w:rFonts w:eastAsia="MS Gothic" w:cs="Arial"/>
              <w:bCs/>
              <w:sz w:val="16"/>
              <w:szCs w:val="16"/>
            </w:rPr>
            <w:t xml:space="preserve">                                   State Library of Queensland </w:t>
          </w:r>
        </w:p>
      </w:tc>
      <w:tc>
        <w:tcPr>
          <w:tcW w:w="2599" w:type="dxa"/>
          <w:shd w:val="clear" w:color="auto" w:fill="auto"/>
        </w:tcPr>
        <w:p w:rsidR="00083934" w:rsidRPr="00FF7507" w:rsidRDefault="00083934" w:rsidP="0008393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083934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083934" w:rsidRPr="00FF7507" w:rsidRDefault="00083934" w:rsidP="0008393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083934" w:rsidRPr="00FF7507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083934" w:rsidRPr="00FF7507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083934" w:rsidRPr="00FF7507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083934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083934" w:rsidRPr="00FF7507" w:rsidRDefault="00083934" w:rsidP="00083934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083934" w:rsidRPr="00FF7507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083934" w:rsidRPr="00DC1FE1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083934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9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083934" w:rsidRDefault="00083934" w:rsidP="00083934">
    <w:pPr>
      <w:pStyle w:val="Footer"/>
    </w:pPr>
  </w:p>
  <w:p w:rsidR="00083934" w:rsidRPr="002B66D0" w:rsidRDefault="00083934" w:rsidP="00083934">
    <w:pPr>
      <w:pStyle w:val="Footer"/>
    </w:pPr>
  </w:p>
  <w:p w:rsidR="00083934" w:rsidRPr="002A5F92" w:rsidRDefault="00083934" w:rsidP="00083934">
    <w:pPr>
      <w:pStyle w:val="Footer"/>
    </w:pPr>
  </w:p>
  <w:p w:rsidR="00A14E8A" w:rsidRPr="00083934" w:rsidRDefault="00A14E8A" w:rsidP="00083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E8A" w:rsidRDefault="00A14E8A">
      <w:r>
        <w:separator/>
      </w:r>
    </w:p>
  </w:footnote>
  <w:footnote w:type="continuationSeparator" w:id="0">
    <w:p w:rsidR="00A14E8A" w:rsidRDefault="00A1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7"/>
  </w:num>
  <w:num w:numId="5">
    <w:abstractNumId w:val="25"/>
  </w:num>
  <w:num w:numId="6">
    <w:abstractNumId w:val="2"/>
  </w:num>
  <w:num w:numId="7">
    <w:abstractNumId w:val="13"/>
  </w:num>
  <w:num w:numId="8">
    <w:abstractNumId w:val="18"/>
  </w:num>
  <w:num w:numId="9">
    <w:abstractNumId w:val="27"/>
  </w:num>
  <w:num w:numId="10">
    <w:abstractNumId w:val="9"/>
  </w:num>
  <w:num w:numId="11">
    <w:abstractNumId w:val="26"/>
  </w:num>
  <w:num w:numId="12">
    <w:abstractNumId w:val="22"/>
  </w:num>
  <w:num w:numId="13">
    <w:abstractNumId w:val="3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3"/>
  </w:num>
  <w:num w:numId="17">
    <w:abstractNumId w:val="5"/>
  </w:num>
  <w:num w:numId="18">
    <w:abstractNumId w:val="11"/>
  </w:num>
  <w:num w:numId="19">
    <w:abstractNumId w:val="12"/>
  </w:num>
  <w:num w:numId="20">
    <w:abstractNumId w:val="14"/>
  </w:num>
  <w:num w:numId="21">
    <w:abstractNumId w:val="7"/>
  </w:num>
  <w:num w:numId="22">
    <w:abstractNumId w:val="20"/>
  </w:num>
  <w:num w:numId="23">
    <w:abstractNumId w:val="28"/>
  </w:num>
  <w:num w:numId="24">
    <w:abstractNumId w:val="4"/>
  </w:num>
  <w:num w:numId="25">
    <w:abstractNumId w:val="6"/>
  </w:num>
  <w:num w:numId="26">
    <w:abstractNumId w:val="24"/>
  </w:num>
  <w:num w:numId="27">
    <w:abstractNumId w:val="21"/>
  </w:num>
  <w:num w:numId="28">
    <w:abstractNumId w:val="0"/>
  </w:num>
  <w:num w:numId="2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1CD0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3934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DA1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4A09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5A3C"/>
    <w:rsid w:val="001E7147"/>
    <w:rsid w:val="001E72B1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03D7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0C46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C67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97C7A"/>
    <w:rsid w:val="003A1106"/>
    <w:rsid w:val="003A3393"/>
    <w:rsid w:val="003A3622"/>
    <w:rsid w:val="003A372F"/>
    <w:rsid w:val="003A53F8"/>
    <w:rsid w:val="003A6275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4571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05BD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85FA1"/>
    <w:rsid w:val="00497873"/>
    <w:rsid w:val="004A331C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1CE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3525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675C"/>
    <w:rsid w:val="006C7521"/>
    <w:rsid w:val="006D2CDA"/>
    <w:rsid w:val="006D497C"/>
    <w:rsid w:val="006D4D7C"/>
    <w:rsid w:val="006D511B"/>
    <w:rsid w:val="006E3674"/>
    <w:rsid w:val="006E76B7"/>
    <w:rsid w:val="006F05B1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23B37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1BFA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5C6"/>
    <w:rsid w:val="00967C17"/>
    <w:rsid w:val="009701D7"/>
    <w:rsid w:val="00970C11"/>
    <w:rsid w:val="00972867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5CC7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4E8A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56A"/>
    <w:rsid w:val="00A913DA"/>
    <w:rsid w:val="00A9192A"/>
    <w:rsid w:val="00A93E74"/>
    <w:rsid w:val="00A955D7"/>
    <w:rsid w:val="00A957B0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2B6E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537E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2E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1914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568F"/>
    <w:rsid w:val="00F675CC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6966C83C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4A331C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96A0-BA35-4FDA-972A-7D4F02FC9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7835F-4AE1-4FBA-B872-CE8C2D9F1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F6AFB-2D5D-49F6-9FB6-62B13C3723F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114f5df-7614-43c1-ba8e-2daa6e5371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F4F199-2206-4C34-91FF-74F18CB9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2523</Words>
  <Characters>15790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Circular saw</vt:lpstr>
    </vt:vector>
  </TitlesOfParts>
  <Company>DETE, Education Queensland</Company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Circular saw</dc:title>
  <dc:creator>CLARK, Brian</dc:creator>
  <cp:keywords>DETE, Education Queensland</cp:keywords>
  <cp:lastModifiedBy>Andrei Maberley</cp:lastModifiedBy>
  <cp:revision>20</cp:revision>
  <cp:lastPrinted>2011-10-11T01:20:00Z</cp:lastPrinted>
  <dcterms:created xsi:type="dcterms:W3CDTF">2020-01-28T04:29:00Z</dcterms:created>
  <dcterms:modified xsi:type="dcterms:W3CDTF">2020-10-12T04:07:00Z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