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eg"/>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4F1E0D2E" w:rsidR="002A5F92" w:rsidRPr="00E6760B" w:rsidRDefault="00066141" w:rsidP="002973F5">
            <w:pPr>
              <w:spacing w:before="40" w:after="20"/>
              <w:ind w:left="-108" w:right="-36"/>
              <w:rPr>
                <w:rFonts w:ascii="Arial" w:hAnsi="Arial" w:cs="Arial"/>
                <w:b/>
                <w:noProof/>
                <w:sz w:val="30"/>
                <w:szCs w:val="30"/>
                <w:lang w:val="en-US"/>
              </w:rPr>
            </w:pPr>
            <w:r>
              <w:rPr>
                <w:noProof/>
                <w:lang w:val="en-GB" w:eastAsia="en-GB"/>
              </w:rPr>
              <mc:AlternateContent>
                <mc:Choice Requires="wps">
                  <w:drawing>
                    <wp:anchor distT="0" distB="0" distL="114300" distR="114300" simplePos="0" relativeHeight="251659776" behindDoc="0" locked="0" layoutInCell="1" allowOverlap="1" wp14:anchorId="597A1E30" wp14:editId="1A3F06BE">
                      <wp:simplePos x="0" y="0"/>
                      <wp:positionH relativeFrom="column">
                        <wp:posOffset>1731645</wp:posOffset>
                      </wp:positionH>
                      <wp:positionV relativeFrom="paragraph">
                        <wp:posOffset>591820</wp:posOffset>
                      </wp:positionV>
                      <wp:extent cx="2968625" cy="42989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138" cy="429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B4457" w14:textId="070EBEF5" w:rsidR="002A5F92" w:rsidRPr="00920A3A" w:rsidRDefault="00E4467A" w:rsidP="00920A3A">
                                  <w:pPr>
                                    <w:jc w:val="center"/>
                                    <w:rPr>
                                      <w:rFonts w:ascii="Arial" w:hAnsi="Arial" w:cs="Arial"/>
                                      <w:b/>
                                      <w:color w:val="FFFFFF"/>
                                      <w:sz w:val="40"/>
                                      <w:szCs w:val="40"/>
                                    </w:rPr>
                                  </w:pPr>
                                  <w:r>
                                    <w:rPr>
                                      <w:rFonts w:ascii="Arial" w:hAnsi="Arial" w:cs="Arial"/>
                                      <w:b/>
                                      <w:color w:val="FFFFFF"/>
                                      <w:sz w:val="40"/>
                                      <w:szCs w:val="40"/>
                                    </w:rPr>
                                    <w:t>Circular S</w:t>
                                  </w:r>
                                  <w:r w:rsidRPr="00E4467A">
                                    <w:rPr>
                                      <w:rFonts w:ascii="Arial" w:hAnsi="Arial" w:cs="Arial"/>
                                      <w:b/>
                                      <w:color w:val="FFFFFF"/>
                                      <w:sz w:val="40"/>
                                      <w:szCs w:val="40"/>
                                    </w:rPr>
                                    <w:t>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1E30" id="_x0000_t202" coordsize="21600,21600" o:spt="202" path="m0,0l0,21600,21600,21600,21600,0xe">
                      <v:stroke joinstyle="miter"/>
                      <v:path gradientshapeok="t" o:connecttype="rect"/>
                    </v:shapetype>
                    <v:shape id="Text Box 25" o:spid="_x0000_s1026" type="#_x0000_t202" style="position:absolute;left:0;text-align:left;margin-left:136.35pt;margin-top:46.6pt;width:233.75pt;height:3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" stroked="f">
                      <v:fill opacity="0"/>
                      <v:textbox>
                        <w:txbxContent>
                          <w:p w14:paraId="313B4457" w14:textId="070EBEF5" w:rsidR="002A5F92" w:rsidRPr="00920A3A" w:rsidRDefault="00E4467A" w:rsidP="00920A3A">
                            <w:pPr>
                              <w:jc w:val="center"/>
                              <w:rPr>
                                <w:rFonts w:ascii="Arial" w:hAnsi="Arial" w:cs="Arial"/>
                                <w:b/>
                                <w:color w:val="FFFFFF"/>
                                <w:sz w:val="40"/>
                                <w:szCs w:val="40"/>
                              </w:rPr>
                            </w:pPr>
                            <w:r>
                              <w:rPr>
                                <w:rFonts w:ascii="Arial" w:hAnsi="Arial" w:cs="Arial"/>
                                <w:b/>
                                <w:color w:val="FFFFFF"/>
                                <w:sz w:val="40"/>
                                <w:szCs w:val="40"/>
                              </w:rPr>
                              <w:t>Circular S</w:t>
                            </w:r>
                            <w:r w:rsidRPr="00E4467A">
                              <w:rPr>
                                <w:rFonts w:ascii="Arial" w:hAnsi="Arial" w:cs="Arial"/>
                                <w:b/>
                                <w:color w:val="FFFFFF"/>
                                <w:sz w:val="40"/>
                                <w:szCs w:val="40"/>
                              </w:rPr>
                              <w:t>aw</w:t>
                            </w:r>
                          </w:p>
                        </w:txbxContent>
                      </v:textbox>
                    </v:shape>
                  </w:pict>
                </mc:Fallback>
              </mc:AlternateContent>
            </w:r>
            <w:r w:rsidR="00B92491">
              <w:rPr>
                <w:noProof/>
                <w:lang w:val="en-GB" w:eastAsia="en-GB"/>
              </w:rPr>
              <w:drawing>
                <wp:inline distT="0" distB="0" distL="0" distR="0" wp14:anchorId="1447C097" wp14:editId="1B87F878">
                  <wp:extent cx="6506120" cy="10628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 HEADER 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4369" cy="1074004"/>
                          </a:xfrm>
                          <a:prstGeom prst="rect">
                            <a:avLst/>
                          </a:prstGeom>
                        </pic:spPr>
                      </pic:pic>
                    </a:graphicData>
                  </a:graphic>
                </wp:inline>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4677B0"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8" o:title=""/>
                  <w10:wrap type="tight" anchory="page"/>
                </v:shape>
                <o:OLEObject Type="Embed" ProgID="Word.Picture.8" ShapeID="_x0000_s1043" DrawAspect="Content" ObjectID="_1587888672" r:id="rId9"/>
              </w:obje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028F1179" w14:textId="2A3C784D" w:rsidR="00CC7D07" w:rsidRPr="00E53855" w:rsidRDefault="00E53855" w:rsidP="00E53855">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Check the guard carefully to determine that it will operate properly and perform its intended function.</w:t>
      </w:r>
      <w:r w:rsidR="00CC7D07" w:rsidRPr="00E53855">
        <w:rPr>
          <w:rFonts w:ascii="Arial" w:hAnsi="Arial"/>
          <w:b/>
          <w:sz w:val="22"/>
          <w:szCs w:val="22"/>
        </w:rPr>
        <w:t xml:space="preserve"> </w:t>
      </w:r>
    </w:p>
    <w:p w14:paraId="459DF40C"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that all safety guards are in position and are operational.</w:t>
      </w:r>
    </w:p>
    <w:p w14:paraId="57A846D4" w14:textId="000CE091" w:rsidR="00CC7D07" w:rsidRPr="00CC7D07" w:rsidRDefault="00E53855"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Inspect the workpiece to ensure that there aren't any items which might damage the cutting blade or cause injury to the operator.</w:t>
      </w:r>
    </w:p>
    <w:p w14:paraId="6DB21505" w14:textId="52EC06D8" w:rsidR="00CC7D07" w:rsidRPr="00CC7D07" w:rsidRDefault="00E53855"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Secure and support the workpiece using clamps or bench vices.</w:t>
      </w:r>
    </w:p>
    <w:p w14:paraId="63DD5122" w14:textId="7229CF5A" w:rsidR="00CC7D07" w:rsidRPr="00CC7D07" w:rsidRDefault="00E53855"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Hold the circular saw firmly to prevent loss of control which could cause personal injury.</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4878190B" w14:textId="70E10BE3" w:rsidR="00CC7D07" w:rsidRPr="00E53855" w:rsidRDefault="00CC7D07" w:rsidP="00E53855">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lang w:val="en-US"/>
        </w:rPr>
        <w:t>Ensure all adjustments are secure before making a cut.</w:t>
      </w:r>
    </w:p>
    <w:p w14:paraId="42659D14" w14:textId="2D969195" w:rsid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 xml:space="preserve">Use clamps to secure and support the workpiece to a stable platform. </w:t>
      </w:r>
    </w:p>
    <w:p w14:paraId="045BCF0F" w14:textId="3316008A" w:rsidR="00E53855" w:rsidRPr="00CC7D07" w:rsidRDefault="00E5385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E53855">
        <w:rPr>
          <w:rFonts w:ascii="Arial" w:hAnsi="Arial"/>
          <w:b/>
          <w:sz w:val="22"/>
          <w:szCs w:val="22"/>
          <w:lang w:val="en-US"/>
        </w:rPr>
        <w:t>Don’t over reach. Keep proper footing and balance at all times.</w:t>
      </w:r>
    </w:p>
    <w:p w14:paraId="4F47D930"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CC7D07">
        <w:rPr>
          <w:rFonts w:ascii="Arial" w:hAnsi="Arial"/>
          <w:b/>
          <w:sz w:val="22"/>
          <w:szCs w:val="22"/>
          <w:lang w:val="en-US"/>
        </w:rPr>
        <w:t>Do not cut more than one workpiece at a time.</w:t>
      </w:r>
    </w:p>
    <w:p w14:paraId="1D9CCA16" w14:textId="77777777"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Do not start the saw with the blade touching the workpiece. Allow the blade to reach full speed before contacting the workpiece.</w:t>
      </w:r>
    </w:p>
    <w:p w14:paraId="0A18A6D5" w14:textId="20E8A8A0" w:rsidR="00CC7D07" w:rsidRDefault="00E5385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It is importan</w:t>
      </w:r>
      <w:r>
        <w:rPr>
          <w:rFonts w:ascii="Arial" w:hAnsi="Arial"/>
          <w:b/>
          <w:sz w:val="22"/>
          <w:szCs w:val="22"/>
        </w:rPr>
        <w:t>t to hold the circular saw steady with</w:t>
      </w:r>
      <w:bookmarkStart w:id="0" w:name="_GoBack"/>
      <w:bookmarkEnd w:id="0"/>
      <w:r w:rsidRPr="00E53855">
        <w:rPr>
          <w:rFonts w:ascii="Arial" w:hAnsi="Arial"/>
          <w:b/>
          <w:sz w:val="22"/>
          <w:szCs w:val="22"/>
        </w:rPr>
        <w:t xml:space="preserve"> even force in order to obtain a uniform cut.</w:t>
      </w:r>
    </w:p>
    <w:p w14:paraId="1A43CDEA" w14:textId="5E1FBF35" w:rsidR="00E53855" w:rsidRPr="00CC7D07" w:rsidRDefault="00E5385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E53855">
        <w:rPr>
          <w:rFonts w:ascii="Arial" w:hAnsi="Arial"/>
          <w:b/>
          <w:sz w:val="22"/>
          <w:szCs w:val="22"/>
        </w:rPr>
        <w:t>Large panels must be supported to minimise the risk of the blade pinching and kickback.</w:t>
      </w:r>
    </w:p>
    <w:p w14:paraId="6EC50222" w14:textId="4D48BCA1" w:rsidR="00CC7D07" w:rsidRPr="00CC7D07" w:rsidRDefault="00E5385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E53855">
        <w:rPr>
          <w:rFonts w:ascii="Arial" w:hAnsi="Arial"/>
          <w:b/>
          <w:sz w:val="22"/>
          <w:szCs w:val="22"/>
          <w:lang w:val="en-US"/>
        </w:rPr>
        <w:t>Do not reach underneath the work while the blade is rotating. Do not attempt to remove cut material when the blade is moving.</w:t>
      </w:r>
    </w:p>
    <w:p w14:paraId="16EFBA81" w14:textId="4D441ED1" w:rsidR="00CC7D07" w:rsidRPr="00CC7D07" w:rsidRDefault="00CC7D07"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lang w:val="en-US"/>
        </w:rPr>
        <w:t>After finishing the cut, rele</w:t>
      </w:r>
      <w:r w:rsidR="00E53855">
        <w:rPr>
          <w:rFonts w:ascii="Arial" w:hAnsi="Arial"/>
          <w:b/>
          <w:sz w:val="22"/>
          <w:szCs w:val="22"/>
          <w:lang w:val="en-US"/>
        </w:rPr>
        <w:t>ase the switch, hold the saw</w:t>
      </w:r>
      <w:r w:rsidRPr="00CC7D07">
        <w:rPr>
          <w:rFonts w:ascii="Arial" w:hAnsi="Arial"/>
          <w:b/>
          <w:sz w:val="22"/>
          <w:szCs w:val="22"/>
          <w:lang w:val="en-US"/>
        </w:rPr>
        <w:t xml:space="preserve"> down and wait for blade to stop before removing work or </w:t>
      </w:r>
      <w:r w:rsidRPr="00CC7D07">
        <w:rPr>
          <w:rFonts w:ascii="Arial" w:hAnsi="Arial"/>
          <w:b/>
          <w:sz w:val="22"/>
          <w:szCs w:val="22"/>
        </w:rPr>
        <w:t>off-cut</w:t>
      </w:r>
      <w:r w:rsidRPr="00CC7D07">
        <w:rPr>
          <w:rFonts w:ascii="Arial" w:hAnsi="Arial"/>
          <w:b/>
          <w:sz w:val="22"/>
          <w:szCs w:val="22"/>
          <w:lang w:val="en-US"/>
        </w:rPr>
        <w:t xml:space="preserve"> piece.</w:t>
      </w:r>
    </w:p>
    <w:p w14:paraId="12418B12" w14:textId="7D681038" w:rsidR="00CC7D07" w:rsidRPr="00CC7D07" w:rsidRDefault="00BE1785"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B</w:t>
      </w:r>
      <w:r w:rsidR="00CC7D07" w:rsidRPr="00CC7D07">
        <w:rPr>
          <w:rFonts w:ascii="Arial" w:hAnsi="Arial"/>
          <w:b/>
          <w:sz w:val="22"/>
          <w:szCs w:val="22"/>
        </w:rPr>
        <w:t>ring the machine to a complete standstill</w:t>
      </w:r>
      <w:r w:rsidR="00CC7D07" w:rsidRPr="00CC7D07">
        <w:rPr>
          <w:rFonts w:ascii="Arial" w:hAnsi="Arial"/>
          <w:b/>
          <w:sz w:val="22"/>
          <w:szCs w:val="22"/>
          <w:lang w:val="en-US"/>
        </w:rPr>
        <w:t xml:space="preserve"> </w:t>
      </w:r>
      <w:r>
        <w:rPr>
          <w:rFonts w:ascii="Arial" w:hAnsi="Arial"/>
          <w:b/>
          <w:sz w:val="22"/>
          <w:szCs w:val="22"/>
          <w:lang w:val="en-US"/>
        </w:rPr>
        <w:t xml:space="preserve">and disconnect the battery </w:t>
      </w:r>
      <w:r w:rsidR="00CC7D07" w:rsidRPr="00CC7D07">
        <w:rPr>
          <w:rFonts w:ascii="Arial" w:hAnsi="Arial"/>
          <w:b/>
          <w:sz w:val="22"/>
          <w:szCs w:val="22"/>
          <w:lang w:val="en-US"/>
        </w:rPr>
        <w:t>before making any adjustments.</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63472443"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E4467A">
        <w:rPr>
          <w:rFonts w:ascii="Arial" w:hAnsi="Arial"/>
          <w:b/>
          <w:sz w:val="22"/>
          <w:szCs w:val="22"/>
        </w:rPr>
        <w:t>Leave the equipment</w:t>
      </w:r>
      <w:r w:rsidR="00CC7D07" w:rsidRPr="00CC7D07">
        <w:rPr>
          <w:rFonts w:ascii="Arial" w:hAnsi="Arial"/>
          <w:b/>
          <w:sz w:val="22"/>
          <w:szCs w:val="22"/>
        </w:rPr>
        <w:t xml:space="preserv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09AED186"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Material</w:t>
      </w:r>
      <w:r w:rsidR="00411E92" w:rsidRPr="00411E92">
        <w:rPr>
          <w:rFonts w:ascii="Arial" w:hAnsi="Arial"/>
          <w:b/>
          <w:sz w:val="22"/>
          <w:szCs w:val="22"/>
        </w:rPr>
        <w:t xml:space="preserve"> ‘kick-back’ toward operator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411E92" w:rsidRPr="00411E92">
        <w:rPr>
          <w:rFonts w:ascii="Arial" w:hAnsi="Arial"/>
          <w:b/>
          <w:sz w:val="22"/>
          <w:szCs w:val="22"/>
        </w:rPr>
        <w:t xml:space="preserve">Contact with rotating blade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411E92">
        <w:rPr>
          <w:rFonts w:ascii="Arial" w:hAnsi="Arial"/>
          <w:b/>
          <w:sz w:val="22"/>
          <w:szCs w:val="22"/>
        </w:rPr>
        <w:t xml:space="preserve">Dusts and fumes </w:t>
      </w:r>
      <w:r w:rsidR="00E4467A">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E4467A">
        <w:rPr>
          <w:rFonts w:ascii="Arial" w:hAnsi="Arial"/>
          <w:b/>
          <w:sz w:val="22"/>
          <w:szCs w:val="22"/>
        </w:rPr>
        <w:t>M</w:t>
      </w:r>
      <w:r w:rsidR="00E4467A" w:rsidRPr="00E4467A">
        <w:rPr>
          <w:rFonts w:ascii="Arial" w:hAnsi="Arial"/>
          <w:b/>
          <w:sz w:val="22"/>
          <w:szCs w:val="22"/>
        </w:rPr>
        <w:t>ovement of the workpiece</w:t>
      </w:r>
      <w:r w:rsidR="00373F76">
        <w:rPr>
          <w:rFonts w:ascii="Arial" w:hAnsi="Arial"/>
          <w:b/>
          <w:sz w:val="22"/>
          <w:szCs w:val="22"/>
        </w:rPr>
        <w:t xml:space="preserve">  </w:t>
      </w:r>
      <w:r w:rsidR="00601D63">
        <w:rPr>
          <w:rFonts w:ascii="Arial" w:hAnsi="Arial"/>
          <w:b/>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E4467A">
        <w:rPr>
          <w:rFonts w:ascii="Arial" w:hAnsi="Arial"/>
          <w:b/>
          <w:sz w:val="22"/>
          <w:szCs w:val="22"/>
        </w:rPr>
        <w:t xml:space="preserve"> </w:t>
      </w:r>
      <w:r w:rsidR="00E4467A">
        <w:rPr>
          <w:rFonts w:ascii="Arial" w:hAnsi="Arial"/>
          <w:b/>
          <w:sz w:val="22"/>
          <w:szCs w:val="22"/>
        </w:rPr>
        <w:t xml:space="preserve">Eye injury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506F35E9" w14:textId="33EB7744" w:rsidR="000476AF" w:rsidRPr="00E537A0" w:rsidRDefault="00956FEE" w:rsidP="00411E92">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16"/>
      <w:footerReference w:type="default" r:id="rId17"/>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D5FBC53" w14:textId="77777777" w:rsidR="004677B0" w:rsidRDefault="004677B0">
      <w:r>
        <w:separator/>
      </w:r>
    </w:p>
  </w:endnote>
  <w:endnote w:type="continuationSeparator" w:id="0">
    <w:p w14:paraId="1B002B78" w14:textId="77777777" w:rsidR="004677B0" w:rsidRDefault="0046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D88D" w14:textId="77777777" w:rsidR="009A56CF" w:rsidRDefault="00B92491">
    <w:pPr>
      <w:pStyle w:val="Footer"/>
      <w:rPr>
        <w:sz w:val="4"/>
      </w:rPr>
    </w:pPr>
    <w:r>
      <w:rPr>
        <w:noProof/>
        <w:lang w:val="en-GB" w:eastAsia="en-GB"/>
      </w:rPr>
      <mc:AlternateContent>
        <mc:Choice Requires="wps">
          <w:drawing>
            <wp:anchor distT="0" distB="0" distL="114300" distR="114300" simplePos="0" relativeHeight="251659264" behindDoc="1" locked="0" layoutInCell="1" allowOverlap="1" wp14:anchorId="656B0CDF" wp14:editId="56D9BA1A">
              <wp:simplePos x="0" y="0"/>
              <wp:positionH relativeFrom="page">
                <wp:posOffset>2136221</wp:posOffset>
              </wp:positionH>
              <wp:positionV relativeFrom="page">
                <wp:posOffset>10105998</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B0CDF" id="_x0000_t202" coordsize="21600,21600" o:spt="202" path="m0,0l0,21600,21600,21600,21600,0xe">
              <v:stroke joinstyle="miter"/>
              <v:path gradientshapeok="t" o:connecttype="rect"/>
            </v:shapetype>
            <v:shape id="Text Box 1" o:spid="_x0000_s1027" type="#_x0000_t202" style="position:absolute;margin-left:168.2pt;margin-top:795.7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" filled="f" stroked="f">
              <v:textbox inset="0,0,0,0">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lang w:val="en-GB" w:eastAsia="en-GB"/>
      </w:rPr>
      <w:drawing>
        <wp:inline distT="0" distB="0" distL="0" distR="0" wp14:anchorId="561E7C42" wp14:editId="6A91D7FA">
          <wp:extent cx="520619" cy="52657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45457" cy="55169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ECCA50E" w14:textId="77777777" w:rsidR="004677B0" w:rsidRDefault="004677B0">
      <w:r>
        <w:separator/>
      </w:r>
    </w:p>
  </w:footnote>
  <w:footnote w:type="continuationSeparator" w:id="0">
    <w:p w14:paraId="5A502714" w14:textId="77777777" w:rsidR="004677B0" w:rsidRDefault="004677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4AC3D8C"/>
    <w:multiLevelType w:val="singleLevel"/>
    <w:tmpl w:val="0C09000F"/>
    <w:lvl w:ilvl="0">
      <w:start w:val="1"/>
      <w:numFmt w:val="decimal"/>
      <w:lvlText w:val="%1."/>
      <w:lvlJc w:val="left"/>
      <w:pPr>
        <w:tabs>
          <w:tab w:val="num" w:pos="360"/>
        </w:tabs>
        <w:ind w:left="360" w:hanging="360"/>
      </w:pPr>
    </w:lvl>
  </w:abstractNum>
  <w:abstractNum w:abstractNumId="1">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nsid w:val="4941134F"/>
    <w:multiLevelType w:val="singleLevel"/>
    <w:tmpl w:val="0C09000F"/>
    <w:lvl w:ilvl="0">
      <w:start w:val="1"/>
      <w:numFmt w:val="decimal"/>
      <w:lvlText w:val="%1."/>
      <w:lvlJc w:val="left"/>
      <w:pPr>
        <w:tabs>
          <w:tab w:val="num" w:pos="360"/>
        </w:tabs>
        <w:ind w:left="360" w:hanging="360"/>
      </w:pPr>
    </w:lvl>
  </w:abstractNum>
  <w:abstractNum w:abstractNumId="5">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677B0"/>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70395B"/>
    <w:rsid w:val="00711D37"/>
    <w:rsid w:val="00733843"/>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7F5A"/>
    <w:rsid w:val="00CA0B08"/>
    <w:rsid w:val="00CC7D07"/>
    <w:rsid w:val="00CD41C0"/>
    <w:rsid w:val="00CF173C"/>
    <w:rsid w:val="00CF7585"/>
    <w:rsid w:val="00D20293"/>
    <w:rsid w:val="00D24FED"/>
    <w:rsid w:val="00D53706"/>
    <w:rsid w:val="00D55A20"/>
    <w:rsid w:val="00D708A9"/>
    <w:rsid w:val="00D83C9C"/>
    <w:rsid w:val="00D92687"/>
    <w:rsid w:val="00DA43E9"/>
    <w:rsid w:val="00DB2702"/>
    <w:rsid w:val="00DE7550"/>
    <w:rsid w:val="00DF3BCA"/>
    <w:rsid w:val="00E04499"/>
    <w:rsid w:val="00E31FFA"/>
    <w:rsid w:val="00E4467A"/>
    <w:rsid w:val="00E537A0"/>
    <w:rsid w:val="00E53855"/>
    <w:rsid w:val="00E544C2"/>
    <w:rsid w:val="00E71A1F"/>
    <w:rsid w:val="00EA533E"/>
    <w:rsid w:val="00EA65A7"/>
    <w:rsid w:val="00EB270C"/>
    <w:rsid w:val="00EC3859"/>
    <w:rsid w:val="00EE20E5"/>
    <w:rsid w:val="00F07975"/>
    <w:rsid w:val="00F400CE"/>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wmf"/><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wmf"/><Relationship Id="rId9" Type="http://schemas.openxmlformats.org/officeDocument/2006/relationships/oleObject" Target="embeddings/oleObject1.bin"/><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 CLARK, Brian</dc:creator>
  <cp:keywords>DETE, Education Queensland</cp:keywords>
  <cp:lastModifiedBy>Simon McKellar</cp:lastModifiedBy>
  <cp:revision>4</cp:revision>
  <cp:lastPrinted>2011-11-23T00:54:00Z</cp:lastPrinted>
  <dcterms:created xsi:type="dcterms:W3CDTF">2018-05-15T01:12:00Z</dcterms:created>
  <dcterms:modified xsi:type="dcterms:W3CDTF">2018-05-15T01:22:00Z</dcterms:modified>
</cp:coreProperties>
</file>